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BAD" w:rsidRPr="000E31F4" w:rsidRDefault="005033D7" w:rsidP="00697CE7">
      <w:pPr>
        <w:spacing w:after="0"/>
        <w:jc w:val="center"/>
      </w:pPr>
      <w:bookmarkStart w:id="0" w:name="_GoBack"/>
      <w:bookmarkEnd w:id="0"/>
      <w:r w:rsidRPr="000E31F4">
        <w:t>Committee on Academic Programs</w:t>
      </w:r>
      <w:r w:rsidR="003F3DC1" w:rsidRPr="000E31F4">
        <w:t xml:space="preserve"> 2016-17</w:t>
      </w:r>
    </w:p>
    <w:p w:rsidR="005033D7" w:rsidRPr="000E31F4" w:rsidRDefault="005033D7" w:rsidP="00697CE7">
      <w:pPr>
        <w:spacing w:after="0"/>
        <w:jc w:val="center"/>
      </w:pPr>
      <w:r w:rsidRPr="000E31F4">
        <w:t xml:space="preserve">Karen Clark and Manish </w:t>
      </w:r>
      <w:proofErr w:type="spellStart"/>
      <w:r w:rsidRPr="000E31F4">
        <w:t>Paliwal</w:t>
      </w:r>
      <w:proofErr w:type="spellEnd"/>
      <w:r w:rsidRPr="000E31F4">
        <w:t>, co-Chairs</w:t>
      </w:r>
    </w:p>
    <w:p w:rsidR="00697CE7" w:rsidRPr="000E31F4" w:rsidRDefault="00697CE7"/>
    <w:p w:rsidR="003F3DC1" w:rsidRPr="000E31F4" w:rsidRDefault="003F3DC1">
      <w:r w:rsidRPr="000E31F4">
        <w:t xml:space="preserve">During the 2016-17 academic year CAP worked on several issues, which are </w:t>
      </w:r>
      <w:r w:rsidR="005943FB" w:rsidRPr="000E31F4">
        <w:t xml:space="preserve">briefly </w:t>
      </w:r>
      <w:r w:rsidRPr="000E31F4">
        <w:t xml:space="preserve">described </w:t>
      </w:r>
      <w:r w:rsidR="005943FB" w:rsidRPr="000E31F4">
        <w:t xml:space="preserve">individually </w:t>
      </w:r>
      <w:r w:rsidRPr="000E31F4">
        <w:t>below.</w:t>
      </w:r>
    </w:p>
    <w:p w:rsidR="003F3DC1" w:rsidRPr="000E31F4" w:rsidRDefault="008C31BF">
      <w:pPr>
        <w:rPr>
          <w:b/>
        </w:rPr>
      </w:pPr>
      <w:r w:rsidRPr="000E31F4">
        <w:rPr>
          <w:b/>
        </w:rPr>
        <w:t xml:space="preserve">Transfer Credit Policy for </w:t>
      </w:r>
      <w:r w:rsidR="003F3DC1" w:rsidRPr="000E31F4">
        <w:rPr>
          <w:b/>
        </w:rPr>
        <w:t>RN to BSN</w:t>
      </w:r>
      <w:r w:rsidRPr="000E31F4">
        <w:rPr>
          <w:b/>
        </w:rPr>
        <w:t xml:space="preserve"> Program</w:t>
      </w:r>
    </w:p>
    <w:p w:rsidR="00823B47" w:rsidRPr="000E31F4" w:rsidRDefault="008C31BF">
      <w:r w:rsidRPr="000E31F4">
        <w:t xml:space="preserve">CAP reviewed a proposed change </w:t>
      </w:r>
      <w:r w:rsidR="00823B47" w:rsidRPr="000E31F4">
        <w:t xml:space="preserve">in the transfer credit policy for students in the RN to BSN program. </w:t>
      </w:r>
      <w:r w:rsidRPr="000E31F4">
        <w:t xml:space="preserve">CAP’s final recommendation was that the policy should be amended to </w:t>
      </w:r>
      <w:r w:rsidRPr="000E31F4">
        <w:rPr>
          <w:color w:val="222222"/>
          <w:highlight w:val="white"/>
        </w:rPr>
        <w:t>allow accepting up to 30 credits from accredited Diploma Schools.</w:t>
      </w:r>
      <w:r w:rsidRPr="000E31F4">
        <w:t xml:space="preserve"> </w:t>
      </w:r>
      <w:r w:rsidRPr="000E31F4">
        <w:rPr>
          <w:color w:val="222222"/>
          <w:highlight w:val="white"/>
        </w:rPr>
        <w:t xml:space="preserve">CAP did not recommend increasing the maximum number of allowable credits from a community college or junior college. </w:t>
      </w:r>
      <w:r w:rsidRPr="000E31F4">
        <w:rPr>
          <w:color w:val="222222"/>
        </w:rPr>
        <w:t xml:space="preserve">The committee determined that all affected units had been consulted. </w:t>
      </w:r>
    </w:p>
    <w:p w:rsidR="003F3DC1" w:rsidRPr="000E31F4" w:rsidRDefault="003F3DC1">
      <w:pPr>
        <w:rPr>
          <w:b/>
        </w:rPr>
      </w:pPr>
      <w:r w:rsidRPr="000E31F4">
        <w:rPr>
          <w:b/>
        </w:rPr>
        <w:t>Student Complaint Policy</w:t>
      </w:r>
    </w:p>
    <w:p w:rsidR="00EC117E" w:rsidRPr="000E31F4" w:rsidRDefault="008C31BF" w:rsidP="008C31BF">
      <w:pPr>
        <w:autoSpaceDE w:val="0"/>
        <w:autoSpaceDN w:val="0"/>
        <w:adjustRightInd w:val="0"/>
        <w:spacing w:after="0" w:line="240" w:lineRule="auto"/>
        <w:rPr>
          <w:rFonts w:cs="Times New Roman"/>
        </w:rPr>
      </w:pPr>
      <w:r w:rsidRPr="000E31F4">
        <w:t>CAP</w:t>
      </w:r>
      <w:r w:rsidR="00EC117E" w:rsidRPr="000E31F4">
        <w:t xml:space="preserve"> review</w:t>
      </w:r>
      <w:r w:rsidRPr="000E31F4">
        <w:t>ed</w:t>
      </w:r>
      <w:r w:rsidR="00EC117E" w:rsidRPr="000E31F4">
        <w:t xml:space="preserve"> existing student complaint policies </w:t>
      </w:r>
      <w:r w:rsidRPr="000E31F4">
        <w:t>and</w:t>
      </w:r>
      <w:r w:rsidR="00EC117E" w:rsidRPr="000E31F4">
        <w:t xml:space="preserve"> develop</w:t>
      </w:r>
      <w:r w:rsidRPr="000E31F4">
        <w:t>ed</w:t>
      </w:r>
      <w:r w:rsidR="00EC117E" w:rsidRPr="000E31F4">
        <w:t xml:space="preserve"> a single revised policy for graduate and undergraduate academic complaints. This policy articulate</w:t>
      </w:r>
      <w:r w:rsidRPr="000E31F4">
        <w:t>s</w:t>
      </w:r>
      <w:r w:rsidR="00EC117E" w:rsidRPr="000E31F4">
        <w:t xml:space="preserve"> the procedure by which students may pursue academic complaints other than grade complaints, complaints of discrimination, and academic integrity appeals</w:t>
      </w:r>
      <w:r w:rsidRPr="000E31F4">
        <w:t>.</w:t>
      </w:r>
      <w:r w:rsidR="00EC117E" w:rsidRPr="000E31F4">
        <w:rPr>
          <w:rFonts w:cs="Times New Roman"/>
        </w:rPr>
        <w:t xml:space="preserve"> </w:t>
      </w:r>
    </w:p>
    <w:p w:rsidR="00EC117E" w:rsidRPr="000E31F4" w:rsidRDefault="00EC117E" w:rsidP="00EC117E">
      <w:pPr>
        <w:autoSpaceDE w:val="0"/>
        <w:autoSpaceDN w:val="0"/>
        <w:adjustRightInd w:val="0"/>
        <w:spacing w:after="0" w:line="240" w:lineRule="auto"/>
        <w:rPr>
          <w:rFonts w:cs="Times New Roman"/>
        </w:rPr>
      </w:pPr>
    </w:p>
    <w:p w:rsidR="003F3DC1" w:rsidRPr="000E31F4" w:rsidRDefault="003F3DC1">
      <w:pPr>
        <w:rPr>
          <w:b/>
        </w:rPr>
      </w:pPr>
      <w:r w:rsidRPr="000E31F4">
        <w:rPr>
          <w:b/>
        </w:rPr>
        <w:t>Change of Major Policy</w:t>
      </w:r>
    </w:p>
    <w:p w:rsidR="00E85601" w:rsidRPr="000E31F4" w:rsidRDefault="008C31BF" w:rsidP="005A47C8">
      <w:pPr>
        <w:pStyle w:val="Normal1"/>
        <w:tabs>
          <w:tab w:val="center" w:pos="535"/>
          <w:tab w:val="center" w:pos="1586"/>
        </w:tabs>
        <w:rPr>
          <w:rFonts w:asciiTheme="minorHAnsi" w:hAnsiTheme="minorHAnsi" w:cs="Times New Roman"/>
        </w:rPr>
      </w:pPr>
      <w:r w:rsidRPr="000E31F4">
        <w:rPr>
          <w:rFonts w:asciiTheme="minorHAnsi" w:hAnsiTheme="minorHAnsi"/>
        </w:rPr>
        <w:t xml:space="preserve">CAP created a new Change of Major policy, in order to set clear and consistent standards for academic departments and programs to admit internal transfer students. The </w:t>
      </w:r>
      <w:r w:rsidR="000E087E" w:rsidRPr="000E31F4">
        <w:rPr>
          <w:rFonts w:asciiTheme="minorHAnsi" w:hAnsiTheme="minorHAnsi"/>
        </w:rPr>
        <w:t xml:space="preserve">policy </w:t>
      </w:r>
      <w:r w:rsidR="000E087E" w:rsidRPr="000E31F4">
        <w:rPr>
          <w:rFonts w:asciiTheme="minorHAnsi" w:eastAsia="Times New Roman" w:hAnsiTheme="minorHAnsi" w:cs="Times New Roman"/>
        </w:rPr>
        <w:t>aims to balance the need for TCNJ students to easily transfer between majors, while ensuring that they are prepared to succeed in their new major.</w:t>
      </w:r>
    </w:p>
    <w:p w:rsidR="003F3DC1" w:rsidRPr="000E31F4" w:rsidRDefault="003F3DC1">
      <w:pPr>
        <w:rPr>
          <w:b/>
        </w:rPr>
      </w:pPr>
      <w:r w:rsidRPr="000E31F4">
        <w:rPr>
          <w:b/>
        </w:rPr>
        <w:t>Advising Agreement</w:t>
      </w:r>
    </w:p>
    <w:p w:rsidR="00823B47" w:rsidRDefault="00823B47" w:rsidP="000E31F4">
      <w:pPr>
        <w:spacing w:after="0"/>
      </w:pPr>
      <w:r w:rsidRPr="000E31F4">
        <w:t xml:space="preserve">CAP reviewed the Advising </w:t>
      </w:r>
      <w:r w:rsidR="005A47C8" w:rsidRPr="000E31F4">
        <w:t>Policy</w:t>
      </w:r>
      <w:r w:rsidRPr="000E31F4">
        <w:t xml:space="preserve"> </w:t>
      </w:r>
      <w:r w:rsidR="005A47C8" w:rsidRPr="000E31F4">
        <w:t>that had been approved during the previous academic year, and recommended</w:t>
      </w:r>
      <w:r w:rsidRPr="000E31F4">
        <w:t xml:space="preserve"> </w:t>
      </w:r>
      <w:r w:rsidR="005A47C8" w:rsidRPr="000E31F4">
        <w:t>modification</w:t>
      </w:r>
      <w:r w:rsidRPr="000E31F4">
        <w:t xml:space="preserve"> </w:t>
      </w:r>
      <w:r w:rsidR="005A47C8" w:rsidRPr="000E31F4">
        <w:t>to the Advising Agreement that was an attachment to the advising policy. This included removing a faculty signature, and minor changes in wording to clarify that the agreement was undergraduate-specific, and to clarify student responsibilities.</w:t>
      </w:r>
    </w:p>
    <w:p w:rsidR="000E31F4" w:rsidRPr="000E31F4" w:rsidRDefault="000E31F4" w:rsidP="000E31F4">
      <w:pPr>
        <w:spacing w:after="0"/>
      </w:pPr>
    </w:p>
    <w:p w:rsidR="003F3DC1" w:rsidRPr="000E31F4" w:rsidRDefault="003F3DC1">
      <w:pPr>
        <w:rPr>
          <w:b/>
        </w:rPr>
      </w:pPr>
      <w:r w:rsidRPr="000E31F4">
        <w:rPr>
          <w:b/>
        </w:rPr>
        <w:t>Secondary Education Undergraduate Course sequence</w:t>
      </w:r>
      <w:r w:rsidR="0072172B" w:rsidRPr="000E31F4">
        <w:rPr>
          <w:b/>
        </w:rPr>
        <w:t xml:space="preserve"> and </w:t>
      </w:r>
      <w:r w:rsidRPr="000E31F4">
        <w:rPr>
          <w:b/>
        </w:rPr>
        <w:t>Program in Education of Deaf and Hard of Hearing required major courses</w:t>
      </w:r>
    </w:p>
    <w:p w:rsidR="00823B47" w:rsidRPr="000E31F4" w:rsidRDefault="0072172B" w:rsidP="0072172B">
      <w:pPr>
        <w:spacing w:after="0" w:line="240" w:lineRule="auto"/>
      </w:pPr>
      <w:r w:rsidRPr="000E31F4">
        <w:t>CAP reviewed proposed revisions to the Secondary Education and Deaf and Hard of Hearing curricula. CAP determined</w:t>
      </w:r>
      <w:r w:rsidR="000E31F4">
        <w:t xml:space="preserve"> that the proposed changes we</w:t>
      </w:r>
      <w:r w:rsidRPr="000E31F4">
        <w:t xml:space="preserve">re consistent with the College’s mission. After requesting and receiving supporting emails from units that are affected by these changes CAP approved the proposed revisions to the Secondary Education and Deaf and Hard of Hearing curricula.     </w:t>
      </w:r>
    </w:p>
    <w:p w:rsidR="00823B47" w:rsidRPr="000E31F4" w:rsidRDefault="00823B47"/>
    <w:p w:rsidR="00C52B0E" w:rsidRPr="000E31F4" w:rsidRDefault="003F3DC1">
      <w:pPr>
        <w:rPr>
          <w:b/>
        </w:rPr>
      </w:pPr>
      <w:r w:rsidRPr="000E31F4">
        <w:rPr>
          <w:b/>
        </w:rPr>
        <w:t>Policy on Learning Assistants</w:t>
      </w:r>
    </w:p>
    <w:p w:rsidR="005A47C8" w:rsidRPr="000E31F4" w:rsidRDefault="005A47C8" w:rsidP="00E85601">
      <w:pPr>
        <w:spacing w:after="0"/>
      </w:pPr>
      <w:r w:rsidRPr="000E31F4">
        <w:t xml:space="preserve">CAP determined that a new policy was needed on the use of learning assistants, and developed a Preliminary Recommendation for the new policy. As testimony from the </w:t>
      </w:r>
      <w:proofErr w:type="gramStart"/>
      <w:r w:rsidRPr="000E31F4">
        <w:t>campus</w:t>
      </w:r>
      <w:proofErr w:type="gramEnd"/>
      <w:r w:rsidRPr="000E31F4">
        <w:t xml:space="preserve"> community was not </w:t>
      </w:r>
      <w:r w:rsidRPr="000E31F4">
        <w:lastRenderedPageBreak/>
        <w:t>solicited on this recommendation before the semester ended, it is not a Final Recommendation, and CAP will need to continue this work in the Fall 2017 semester.</w:t>
      </w:r>
    </w:p>
    <w:p w:rsidR="005A47C8" w:rsidRPr="000E31F4" w:rsidRDefault="005A47C8" w:rsidP="00E85601">
      <w:pPr>
        <w:spacing w:after="0"/>
      </w:pPr>
    </w:p>
    <w:p w:rsidR="003F3DC1" w:rsidRPr="000E31F4" w:rsidRDefault="003F3DC1">
      <w:pPr>
        <w:rPr>
          <w:b/>
        </w:rPr>
      </w:pPr>
      <w:r w:rsidRPr="000E31F4">
        <w:rPr>
          <w:b/>
        </w:rPr>
        <w:t xml:space="preserve">Double Counting Exception for Environmental Sustainability Education Minor and </w:t>
      </w:r>
      <w:proofErr w:type="spellStart"/>
      <w:r w:rsidRPr="000E31F4">
        <w:rPr>
          <w:b/>
        </w:rPr>
        <w:t>iSTEM</w:t>
      </w:r>
      <w:proofErr w:type="spellEnd"/>
      <w:r w:rsidRPr="000E31F4">
        <w:rPr>
          <w:b/>
        </w:rPr>
        <w:t xml:space="preserve"> major</w:t>
      </w:r>
    </w:p>
    <w:p w:rsidR="009D1E57" w:rsidRPr="000E31F4" w:rsidRDefault="009D1E57" w:rsidP="00823B47">
      <w:r w:rsidRPr="000E31F4">
        <w:t xml:space="preserve">CAP determined that a double counting exception should be granted for students pursuing an </w:t>
      </w:r>
      <w:proofErr w:type="spellStart"/>
      <w:r w:rsidRPr="000E31F4">
        <w:t>iSTEM</w:t>
      </w:r>
      <w:proofErr w:type="spellEnd"/>
      <w:r w:rsidRPr="000E31F4">
        <w:t xml:space="preserve"> major and Environmental Sustainability Education Minor, that is students majoring in </w:t>
      </w:r>
      <w:proofErr w:type="spellStart"/>
      <w:r w:rsidRPr="000E31F4">
        <w:t>iSTEM</w:t>
      </w:r>
      <w:proofErr w:type="spellEnd"/>
      <w:r w:rsidRPr="000E31F4">
        <w:t xml:space="preserve"> and minoring in Environmental Sustainability should be permitted to count two courses towards both the major and minor. </w:t>
      </w:r>
    </w:p>
    <w:p w:rsidR="00823B47" w:rsidRPr="000E31F4" w:rsidRDefault="009D1E57">
      <w:r w:rsidRPr="000E31F4">
        <w:t xml:space="preserve">Furthermore, CAP determined that the </w:t>
      </w:r>
      <w:r w:rsidR="00823B47" w:rsidRPr="000E31F4">
        <w:t xml:space="preserve">policy Types of Majors and Minors Defined should be amended to include a definition of Interdisciplinary Minors. </w:t>
      </w:r>
      <w:r w:rsidRPr="000E31F4">
        <w:t xml:space="preserve">CAP was not able to complete the amendments to this policy or to solicit testimony. Therefore, CAP will need to continue the work on this part of the charge in the </w:t>
      </w:r>
      <w:proofErr w:type="gramStart"/>
      <w:r w:rsidRPr="000E31F4">
        <w:t>Fall</w:t>
      </w:r>
      <w:proofErr w:type="gramEnd"/>
      <w:r w:rsidRPr="000E31F4">
        <w:t xml:space="preserve"> 2017 semester.</w:t>
      </w:r>
      <w:r w:rsidR="00823B47" w:rsidRPr="000E31F4">
        <w:t xml:space="preserve"> </w:t>
      </w:r>
    </w:p>
    <w:p w:rsidR="003F3DC1" w:rsidRPr="000E31F4" w:rsidRDefault="003F3DC1">
      <w:pPr>
        <w:rPr>
          <w:b/>
        </w:rPr>
      </w:pPr>
      <w:r w:rsidRPr="000E31F4">
        <w:rPr>
          <w:b/>
        </w:rPr>
        <w:t>Cross-Listing of Courses Policy</w:t>
      </w:r>
    </w:p>
    <w:p w:rsidR="0083266E" w:rsidRPr="000E31F4" w:rsidRDefault="0083266E" w:rsidP="00E85601">
      <w:pPr>
        <w:autoSpaceDE w:val="0"/>
        <w:autoSpaceDN w:val="0"/>
        <w:adjustRightInd w:val="0"/>
        <w:spacing w:after="0" w:line="240" w:lineRule="auto"/>
      </w:pPr>
      <w:r w:rsidRPr="000E31F4">
        <w:t xml:space="preserve">CAP </w:t>
      </w:r>
      <w:r w:rsidR="00E85601" w:rsidRPr="000E31F4">
        <w:t>review</w:t>
      </w:r>
      <w:r w:rsidRPr="000E31F4">
        <w:t>ed</w:t>
      </w:r>
      <w:r w:rsidR="00E85601" w:rsidRPr="000E31F4">
        <w:t xml:space="preserve"> the Cross Listing of Courses Policy</w:t>
      </w:r>
      <w:r w:rsidRPr="000E31F4">
        <w:t>, which had not been updated since 1999, and updated the policy to bring it in line with current practice. The policy was also reorganized for presentation clarity.</w:t>
      </w:r>
    </w:p>
    <w:p w:rsidR="00E85601" w:rsidRPr="000E31F4" w:rsidRDefault="00E85601"/>
    <w:p w:rsidR="003F3DC1" w:rsidRPr="000E31F4" w:rsidRDefault="003F3DC1">
      <w:pPr>
        <w:rPr>
          <w:b/>
        </w:rPr>
      </w:pPr>
      <w:r w:rsidRPr="000E31F4">
        <w:rPr>
          <w:b/>
        </w:rPr>
        <w:t>Bulletin Year of Record Policy</w:t>
      </w:r>
    </w:p>
    <w:p w:rsidR="00E85601" w:rsidRPr="000E31F4" w:rsidRDefault="00D77454" w:rsidP="00D77454">
      <w:pPr>
        <w:autoSpaceDE w:val="0"/>
        <w:autoSpaceDN w:val="0"/>
        <w:adjustRightInd w:val="0"/>
        <w:spacing w:after="0" w:line="240" w:lineRule="auto"/>
      </w:pPr>
      <w:r w:rsidRPr="000E31F4">
        <w:t xml:space="preserve">CAP </w:t>
      </w:r>
      <w:r w:rsidR="00E85601" w:rsidRPr="000E31F4">
        <w:t>review</w:t>
      </w:r>
      <w:r w:rsidRPr="000E31F4">
        <w:t>ed</w:t>
      </w:r>
      <w:r w:rsidR="00E85601" w:rsidRPr="000E31F4">
        <w:t xml:space="preserve"> the Bulletin Year for Change of Major Policy</w:t>
      </w:r>
      <w:r w:rsidRPr="000E31F4">
        <w:t>, which had not been updated since 1990, and updated the policy to bring it in line with current practice.</w:t>
      </w:r>
    </w:p>
    <w:p w:rsidR="00E85601" w:rsidRPr="000E31F4" w:rsidRDefault="00E85601"/>
    <w:p w:rsidR="005033D7" w:rsidRPr="000E31F4" w:rsidRDefault="003F3DC1">
      <w:pPr>
        <w:rPr>
          <w:b/>
        </w:rPr>
      </w:pPr>
      <w:r w:rsidRPr="000E31F4">
        <w:rPr>
          <w:b/>
        </w:rPr>
        <w:t>Minor in Information Systems Technology</w:t>
      </w:r>
    </w:p>
    <w:p w:rsidR="00823B47" w:rsidRPr="000E31F4" w:rsidRDefault="005B3B6A" w:rsidP="005B3B6A">
      <w:pPr>
        <w:spacing w:after="0"/>
      </w:pPr>
      <w:r w:rsidRPr="000E31F4">
        <w:t>CAP determined that the proposed minor in Information Systems and Technology is consistent with the mission of the College. Furthermore, the committee determined that the departments of Computer Science and Interactive Multimedia should be informed of this proposal for a new minor, and informed them of the proposal. With this, CAP approved the proposed minor in Information Systems Technology.</w:t>
      </w:r>
    </w:p>
    <w:p w:rsidR="005B3B6A" w:rsidRPr="000E31F4" w:rsidRDefault="005B3B6A" w:rsidP="005B3B6A">
      <w:pPr>
        <w:spacing w:after="0"/>
      </w:pPr>
    </w:p>
    <w:p w:rsidR="00823B47" w:rsidRPr="000E31F4" w:rsidRDefault="003F3DC1" w:rsidP="00823B47">
      <w:pPr>
        <w:spacing w:after="0"/>
        <w:rPr>
          <w:b/>
        </w:rPr>
      </w:pPr>
      <w:r w:rsidRPr="000E31F4">
        <w:rPr>
          <w:b/>
        </w:rPr>
        <w:t>Major in Speech Pathology</w:t>
      </w:r>
      <w:r w:rsidR="00823B47" w:rsidRPr="000E31F4">
        <w:rPr>
          <w:b/>
        </w:rPr>
        <w:t xml:space="preserve"> </w:t>
      </w:r>
    </w:p>
    <w:p w:rsidR="00B471FB" w:rsidRPr="000E31F4" w:rsidRDefault="00B471FB" w:rsidP="00B471FB">
      <w:pPr>
        <w:spacing w:after="0"/>
      </w:pPr>
      <w:r w:rsidRPr="000E31F4">
        <w:t>CAP determined that the proposed undergraduate Major in Speech-Language Pathology and Audiology Proposal is consistent with the mission of the College. Furthermore, the committee determined that all affected units had been c</w:t>
      </w:r>
      <w:r w:rsidR="005B3B6A" w:rsidRPr="000E31F4">
        <w:t>onsulted.  As such, CAP approved</w:t>
      </w:r>
      <w:r w:rsidRPr="000E31F4">
        <w:t xml:space="preserve"> the proposed undergraduate Major in Speech-Language Pathology and Audiology Proposal</w:t>
      </w:r>
      <w:r w:rsidR="005B3B6A" w:rsidRPr="000E31F4">
        <w:t>.</w:t>
      </w:r>
      <w:r w:rsidRPr="000E31F4">
        <w:t xml:space="preserve"> </w:t>
      </w:r>
    </w:p>
    <w:p w:rsidR="00B471FB" w:rsidRPr="000E31F4" w:rsidRDefault="00B471FB" w:rsidP="00823B47">
      <w:pPr>
        <w:spacing w:after="0"/>
        <w:rPr>
          <w:b/>
        </w:rPr>
      </w:pPr>
    </w:p>
    <w:p w:rsidR="00F2688C" w:rsidRPr="000E31F4" w:rsidRDefault="00F2688C" w:rsidP="005B3B6A">
      <w:pPr>
        <w:rPr>
          <w:b/>
        </w:rPr>
      </w:pPr>
      <w:r w:rsidRPr="000E31F4">
        <w:rPr>
          <w:b/>
        </w:rPr>
        <w:t>Academic Integrity Procedural Standards</w:t>
      </w:r>
    </w:p>
    <w:p w:rsidR="00823B47" w:rsidRPr="000E31F4" w:rsidRDefault="005B3B6A" w:rsidP="005B3B6A">
      <w:pPr>
        <w:autoSpaceDE w:val="0"/>
        <w:autoSpaceDN w:val="0"/>
        <w:adjustRightInd w:val="0"/>
        <w:spacing w:after="0" w:line="240" w:lineRule="auto"/>
      </w:pPr>
      <w:r w:rsidRPr="000E31F4">
        <w:t xml:space="preserve">CAP </w:t>
      </w:r>
      <w:r w:rsidR="00823B47" w:rsidRPr="000E31F4">
        <w:t>review</w:t>
      </w:r>
      <w:r w:rsidRPr="000E31F4">
        <w:t>ed</w:t>
      </w:r>
      <w:r w:rsidR="00823B47" w:rsidRPr="000E31F4">
        <w:t xml:space="preserve"> the relevant language in Section III of the Academic Integrity Procedural Standards to determine whether the language should be changed to improve clarity. </w:t>
      </w:r>
      <w:r w:rsidRPr="000E31F4">
        <w:t xml:space="preserve"> </w:t>
      </w:r>
      <w:r w:rsidR="00823B47" w:rsidRPr="000E31F4">
        <w:t>CAP determined that the language in the Academic Integrity Procedural Standards did not need revision, and that the existing language in the document is satisfactory.</w:t>
      </w:r>
    </w:p>
    <w:p w:rsidR="003F3DC1" w:rsidRPr="000E31F4" w:rsidRDefault="003F3DC1"/>
    <w:p w:rsidR="003F3DC1" w:rsidRPr="000E31F4" w:rsidRDefault="003F3DC1">
      <w:pPr>
        <w:rPr>
          <w:b/>
        </w:rPr>
      </w:pPr>
      <w:proofErr w:type="spellStart"/>
      <w:r w:rsidRPr="000E31F4">
        <w:rPr>
          <w:b/>
        </w:rPr>
        <w:lastRenderedPageBreak/>
        <w:t>Masters</w:t>
      </w:r>
      <w:proofErr w:type="spellEnd"/>
      <w:r w:rsidRPr="000E31F4">
        <w:rPr>
          <w:b/>
        </w:rPr>
        <w:t xml:space="preserve"> Program in Public Health</w:t>
      </w:r>
    </w:p>
    <w:p w:rsidR="0061411A" w:rsidRPr="000E31F4" w:rsidRDefault="005B3B6A" w:rsidP="005B3B6A">
      <w:pPr>
        <w:autoSpaceDE w:val="0"/>
        <w:autoSpaceDN w:val="0"/>
        <w:adjustRightInd w:val="0"/>
        <w:spacing w:after="0" w:line="240" w:lineRule="auto"/>
        <w:rPr>
          <w:rFonts w:cs="Times New Roman"/>
        </w:rPr>
      </w:pPr>
      <w:r w:rsidRPr="000E31F4">
        <w:t>CAP determined that the proposed Master of Public Health program is consistent with the mission of the College.</w:t>
      </w:r>
      <w:r w:rsidRPr="000E31F4">
        <w:rPr>
          <w:rFonts w:cs="Times New Roman"/>
        </w:rPr>
        <w:t xml:space="preserve"> </w:t>
      </w:r>
      <w:r w:rsidR="0061411A" w:rsidRPr="000E31F4">
        <w:t xml:space="preserve">CAP </w:t>
      </w:r>
      <w:r w:rsidRPr="000E31F4">
        <w:t xml:space="preserve">was also charged </w:t>
      </w:r>
      <w:r w:rsidR="0061411A" w:rsidRPr="000E31F4">
        <w:t>with determining whether there are any units that might be affected by the propo</w:t>
      </w:r>
      <w:r w:rsidRPr="000E31F4">
        <w:t>sal that had not been consulted. In response to feedback from CAP, the proposal was slightly revised, and with this proposal revision and CAP’s notification of two department chairs, the committee approved the</w:t>
      </w:r>
      <w:r w:rsidR="0061411A" w:rsidRPr="000E31F4">
        <w:t xml:space="preserve"> proposed Master of Public Health program</w:t>
      </w:r>
      <w:r w:rsidRPr="000E31F4">
        <w:t>.</w:t>
      </w:r>
    </w:p>
    <w:p w:rsidR="00823B47" w:rsidRPr="000E31F4" w:rsidRDefault="00823B47"/>
    <w:p w:rsidR="003F3DC1" w:rsidRPr="000E31F4" w:rsidRDefault="003F3DC1"/>
    <w:p w:rsidR="0000118A" w:rsidRPr="000E31F4" w:rsidRDefault="0000118A"/>
    <w:sectPr w:rsidR="0000118A" w:rsidRPr="000E3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6514"/>
    <w:multiLevelType w:val="multilevel"/>
    <w:tmpl w:val="032299A8"/>
    <w:lvl w:ilvl="0">
      <w:start w:val="1"/>
      <w:numFmt w:val="upperRoman"/>
      <w:lvlText w:val="%1."/>
      <w:lvlJc w:val="left"/>
      <w:pPr>
        <w:ind w:left="1180" w:firstLine="2819"/>
      </w:pPr>
      <w:rPr>
        <w:rFonts w:ascii="Times New Roman" w:eastAsia="Times New Roman" w:hAnsi="Times New Roman" w:cs="Times New Roman"/>
        <w:sz w:val="28"/>
        <w:szCs w:val="28"/>
      </w:rPr>
    </w:lvl>
    <w:lvl w:ilvl="1">
      <w:start w:val="1"/>
      <w:numFmt w:val="upperRoman"/>
      <w:lvlText w:val="%2."/>
      <w:lvlJc w:val="left"/>
      <w:pPr>
        <w:ind w:left="820" w:firstLine="2260"/>
      </w:pPr>
      <w:rPr>
        <w:rFonts w:ascii="Times New Roman" w:eastAsia="Times New Roman" w:hAnsi="Times New Roman" w:cs="Times New Roman"/>
        <w:sz w:val="24"/>
        <w:szCs w:val="24"/>
      </w:rPr>
    </w:lvl>
    <w:lvl w:ilvl="2">
      <w:start w:val="1"/>
      <w:numFmt w:val="bullet"/>
      <w:lvlText w:val="•"/>
      <w:lvlJc w:val="left"/>
      <w:pPr>
        <w:ind w:left="2113" w:firstLine="6139"/>
      </w:pPr>
      <w:rPr>
        <w:rFonts w:ascii="Arial" w:eastAsia="Arial" w:hAnsi="Arial" w:cs="Arial"/>
      </w:rPr>
    </w:lvl>
    <w:lvl w:ilvl="3">
      <w:start w:val="1"/>
      <w:numFmt w:val="bullet"/>
      <w:lvlText w:val="•"/>
      <w:lvlJc w:val="left"/>
      <w:pPr>
        <w:ind w:left="3046" w:firstLine="8938"/>
      </w:pPr>
      <w:rPr>
        <w:rFonts w:ascii="Arial" w:eastAsia="Arial" w:hAnsi="Arial" w:cs="Arial"/>
      </w:rPr>
    </w:lvl>
    <w:lvl w:ilvl="4">
      <w:start w:val="1"/>
      <w:numFmt w:val="bullet"/>
      <w:lvlText w:val="•"/>
      <w:lvlJc w:val="left"/>
      <w:pPr>
        <w:ind w:left="3980" w:firstLine="11740"/>
      </w:pPr>
      <w:rPr>
        <w:rFonts w:ascii="Arial" w:eastAsia="Arial" w:hAnsi="Arial" w:cs="Arial"/>
      </w:rPr>
    </w:lvl>
    <w:lvl w:ilvl="5">
      <w:start w:val="1"/>
      <w:numFmt w:val="bullet"/>
      <w:lvlText w:val="•"/>
      <w:lvlJc w:val="left"/>
      <w:pPr>
        <w:ind w:left="4913" w:firstLine="14539"/>
      </w:pPr>
      <w:rPr>
        <w:rFonts w:ascii="Arial" w:eastAsia="Arial" w:hAnsi="Arial" w:cs="Arial"/>
      </w:rPr>
    </w:lvl>
    <w:lvl w:ilvl="6">
      <w:start w:val="1"/>
      <w:numFmt w:val="bullet"/>
      <w:lvlText w:val="•"/>
      <w:lvlJc w:val="left"/>
      <w:pPr>
        <w:ind w:left="5846" w:firstLine="17338"/>
      </w:pPr>
      <w:rPr>
        <w:rFonts w:ascii="Arial" w:eastAsia="Arial" w:hAnsi="Arial" w:cs="Arial"/>
      </w:rPr>
    </w:lvl>
    <w:lvl w:ilvl="7">
      <w:start w:val="1"/>
      <w:numFmt w:val="bullet"/>
      <w:lvlText w:val="•"/>
      <w:lvlJc w:val="left"/>
      <w:pPr>
        <w:ind w:left="6780" w:firstLine="20140"/>
      </w:pPr>
      <w:rPr>
        <w:rFonts w:ascii="Arial" w:eastAsia="Arial" w:hAnsi="Arial" w:cs="Arial"/>
      </w:rPr>
    </w:lvl>
    <w:lvl w:ilvl="8">
      <w:start w:val="1"/>
      <w:numFmt w:val="bullet"/>
      <w:lvlText w:val="•"/>
      <w:lvlJc w:val="left"/>
      <w:pPr>
        <w:ind w:left="7713" w:firstLine="22938"/>
      </w:pPr>
      <w:rPr>
        <w:rFonts w:ascii="Arial" w:eastAsia="Arial" w:hAnsi="Arial" w:cs="Arial"/>
      </w:rPr>
    </w:lvl>
  </w:abstractNum>
  <w:abstractNum w:abstractNumId="1" w15:restartNumberingAfterBreak="0">
    <w:nsid w:val="08E31094"/>
    <w:multiLevelType w:val="hybridMultilevel"/>
    <w:tmpl w:val="ECEA8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84872"/>
    <w:multiLevelType w:val="hybridMultilevel"/>
    <w:tmpl w:val="E7346F56"/>
    <w:lvl w:ilvl="0" w:tplc="BC6881A8">
      <w:start w:val="1"/>
      <w:numFmt w:val="decimal"/>
      <w:lvlText w:val="%1."/>
      <w:lvlJc w:val="left"/>
      <w:pPr>
        <w:ind w:left="820" w:hanging="360"/>
        <w:jc w:val="left"/>
      </w:pPr>
      <w:rPr>
        <w:rFonts w:ascii="Times New Roman" w:eastAsia="Times New Roman" w:hAnsi="Times New Roman" w:cs="Times New Roman" w:hint="default"/>
        <w:spacing w:val="-3"/>
        <w:w w:val="99"/>
        <w:sz w:val="24"/>
        <w:szCs w:val="24"/>
      </w:rPr>
    </w:lvl>
    <w:lvl w:ilvl="1" w:tplc="78642826">
      <w:numFmt w:val="bullet"/>
      <w:lvlText w:val="•"/>
      <w:lvlJc w:val="left"/>
      <w:pPr>
        <w:ind w:left="1692" w:hanging="360"/>
      </w:pPr>
      <w:rPr>
        <w:rFonts w:hint="default"/>
      </w:rPr>
    </w:lvl>
    <w:lvl w:ilvl="2" w:tplc="B20E42D4">
      <w:numFmt w:val="bullet"/>
      <w:lvlText w:val="•"/>
      <w:lvlJc w:val="left"/>
      <w:pPr>
        <w:ind w:left="2564" w:hanging="360"/>
      </w:pPr>
      <w:rPr>
        <w:rFonts w:hint="default"/>
      </w:rPr>
    </w:lvl>
    <w:lvl w:ilvl="3" w:tplc="3E4C3B50">
      <w:numFmt w:val="bullet"/>
      <w:lvlText w:val="•"/>
      <w:lvlJc w:val="left"/>
      <w:pPr>
        <w:ind w:left="3436" w:hanging="360"/>
      </w:pPr>
      <w:rPr>
        <w:rFonts w:hint="default"/>
      </w:rPr>
    </w:lvl>
    <w:lvl w:ilvl="4" w:tplc="BC8852FE">
      <w:numFmt w:val="bullet"/>
      <w:lvlText w:val="•"/>
      <w:lvlJc w:val="left"/>
      <w:pPr>
        <w:ind w:left="4308" w:hanging="360"/>
      </w:pPr>
      <w:rPr>
        <w:rFonts w:hint="default"/>
      </w:rPr>
    </w:lvl>
    <w:lvl w:ilvl="5" w:tplc="2CD0B57E">
      <w:numFmt w:val="bullet"/>
      <w:lvlText w:val="•"/>
      <w:lvlJc w:val="left"/>
      <w:pPr>
        <w:ind w:left="5180" w:hanging="360"/>
      </w:pPr>
      <w:rPr>
        <w:rFonts w:hint="default"/>
      </w:rPr>
    </w:lvl>
    <w:lvl w:ilvl="6" w:tplc="39DAC974">
      <w:numFmt w:val="bullet"/>
      <w:lvlText w:val="•"/>
      <w:lvlJc w:val="left"/>
      <w:pPr>
        <w:ind w:left="6052" w:hanging="360"/>
      </w:pPr>
      <w:rPr>
        <w:rFonts w:hint="default"/>
      </w:rPr>
    </w:lvl>
    <w:lvl w:ilvl="7" w:tplc="1E4A5AB0">
      <w:numFmt w:val="bullet"/>
      <w:lvlText w:val="•"/>
      <w:lvlJc w:val="left"/>
      <w:pPr>
        <w:ind w:left="6924" w:hanging="360"/>
      </w:pPr>
      <w:rPr>
        <w:rFonts w:hint="default"/>
      </w:rPr>
    </w:lvl>
    <w:lvl w:ilvl="8" w:tplc="6CCAE990">
      <w:numFmt w:val="bullet"/>
      <w:lvlText w:val="•"/>
      <w:lvlJc w:val="left"/>
      <w:pPr>
        <w:ind w:left="7796" w:hanging="360"/>
      </w:pPr>
      <w:rPr>
        <w:rFonts w:hint="default"/>
      </w:rPr>
    </w:lvl>
  </w:abstractNum>
  <w:abstractNum w:abstractNumId="3" w15:restartNumberingAfterBreak="0">
    <w:nsid w:val="0FDB7639"/>
    <w:multiLevelType w:val="hybridMultilevel"/>
    <w:tmpl w:val="78BE8C76"/>
    <w:lvl w:ilvl="0" w:tplc="04090019">
      <w:start w:val="1"/>
      <w:numFmt w:val="low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4" w15:restartNumberingAfterBreak="0">
    <w:nsid w:val="15760B92"/>
    <w:multiLevelType w:val="hybridMultilevel"/>
    <w:tmpl w:val="11C2B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160FA"/>
    <w:multiLevelType w:val="hybridMultilevel"/>
    <w:tmpl w:val="FC2A6020"/>
    <w:lvl w:ilvl="0" w:tplc="04090013">
      <w:start w:val="1"/>
      <w:numFmt w:val="upperRoman"/>
      <w:lvlText w:val="%1."/>
      <w:lvlJc w:val="righ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6" w15:restartNumberingAfterBreak="0">
    <w:nsid w:val="38C76CAA"/>
    <w:multiLevelType w:val="hybridMultilevel"/>
    <w:tmpl w:val="E3B653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E43C04"/>
    <w:multiLevelType w:val="hybridMultilevel"/>
    <w:tmpl w:val="7B8E7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E4CBA"/>
    <w:multiLevelType w:val="multilevel"/>
    <w:tmpl w:val="6C345D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8FF1A1D"/>
    <w:multiLevelType w:val="hybridMultilevel"/>
    <w:tmpl w:val="EE605AE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A56794A"/>
    <w:multiLevelType w:val="hybridMultilevel"/>
    <w:tmpl w:val="E754117C"/>
    <w:lvl w:ilvl="0" w:tplc="04090015">
      <w:start w:val="1"/>
      <w:numFmt w:val="upperLetter"/>
      <w:lvlText w:val="%1."/>
      <w:lvlJc w:val="left"/>
      <w:pPr>
        <w:ind w:left="1440" w:hanging="360"/>
      </w:pPr>
    </w:lvl>
    <w:lvl w:ilvl="1" w:tplc="0096D12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EE4CC2"/>
    <w:multiLevelType w:val="hybridMultilevel"/>
    <w:tmpl w:val="F338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A625F7"/>
    <w:multiLevelType w:val="hybridMultilevel"/>
    <w:tmpl w:val="39DC2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00554C"/>
    <w:multiLevelType w:val="multilevel"/>
    <w:tmpl w:val="35EAAE66"/>
    <w:lvl w:ilvl="0">
      <w:start w:val="1"/>
      <w:numFmt w:val="decimal"/>
      <w:lvlText w:val="%1."/>
      <w:lvlJc w:val="left"/>
      <w:pPr>
        <w:ind w:left="1047" w:firstLine="1734"/>
      </w:pPr>
      <w:rPr>
        <w:sz w:val="24"/>
        <w:szCs w:val="24"/>
      </w:rPr>
    </w:lvl>
    <w:lvl w:ilvl="1">
      <w:start w:val="1"/>
      <w:numFmt w:val="bullet"/>
      <w:lvlText w:val="•"/>
      <w:lvlJc w:val="left"/>
      <w:pPr>
        <w:ind w:left="1079" w:firstLine="3468"/>
      </w:pPr>
      <w:rPr>
        <w:rFonts w:ascii="Arial" w:eastAsia="Arial" w:hAnsi="Arial" w:cs="Arial"/>
      </w:rPr>
    </w:lvl>
    <w:lvl w:ilvl="2">
      <w:start w:val="1"/>
      <w:numFmt w:val="bullet"/>
      <w:lvlText w:val="•"/>
      <w:lvlJc w:val="left"/>
      <w:pPr>
        <w:ind w:left="1923" w:firstLine="6000"/>
      </w:pPr>
      <w:rPr>
        <w:rFonts w:ascii="Arial" w:eastAsia="Arial" w:hAnsi="Arial" w:cs="Arial"/>
      </w:rPr>
    </w:lvl>
    <w:lvl w:ilvl="3">
      <w:start w:val="1"/>
      <w:numFmt w:val="bullet"/>
      <w:lvlText w:val="•"/>
      <w:lvlJc w:val="left"/>
      <w:pPr>
        <w:ind w:left="2767" w:firstLine="8532"/>
      </w:pPr>
      <w:rPr>
        <w:rFonts w:ascii="Arial" w:eastAsia="Arial" w:hAnsi="Arial" w:cs="Arial"/>
      </w:rPr>
    </w:lvl>
    <w:lvl w:ilvl="4">
      <w:start w:val="1"/>
      <w:numFmt w:val="bullet"/>
      <w:lvlText w:val="•"/>
      <w:lvlJc w:val="left"/>
      <w:pPr>
        <w:ind w:left="3611" w:firstLine="11064"/>
      </w:pPr>
      <w:rPr>
        <w:rFonts w:ascii="Arial" w:eastAsia="Arial" w:hAnsi="Arial" w:cs="Arial"/>
      </w:rPr>
    </w:lvl>
    <w:lvl w:ilvl="5">
      <w:start w:val="1"/>
      <w:numFmt w:val="bullet"/>
      <w:lvlText w:val="•"/>
      <w:lvlJc w:val="left"/>
      <w:pPr>
        <w:ind w:left="4455" w:firstLine="13596"/>
      </w:pPr>
      <w:rPr>
        <w:rFonts w:ascii="Arial" w:eastAsia="Arial" w:hAnsi="Arial" w:cs="Arial"/>
      </w:rPr>
    </w:lvl>
    <w:lvl w:ilvl="6">
      <w:start w:val="1"/>
      <w:numFmt w:val="bullet"/>
      <w:lvlText w:val="•"/>
      <w:lvlJc w:val="left"/>
      <w:pPr>
        <w:ind w:left="5299" w:firstLine="16128"/>
      </w:pPr>
      <w:rPr>
        <w:rFonts w:ascii="Arial" w:eastAsia="Arial" w:hAnsi="Arial" w:cs="Arial"/>
      </w:rPr>
    </w:lvl>
    <w:lvl w:ilvl="7">
      <w:start w:val="1"/>
      <w:numFmt w:val="bullet"/>
      <w:lvlText w:val="•"/>
      <w:lvlJc w:val="left"/>
      <w:pPr>
        <w:ind w:left="6143" w:firstLine="18659"/>
      </w:pPr>
      <w:rPr>
        <w:rFonts w:ascii="Arial" w:eastAsia="Arial" w:hAnsi="Arial" w:cs="Arial"/>
      </w:rPr>
    </w:lvl>
    <w:lvl w:ilvl="8">
      <w:start w:val="1"/>
      <w:numFmt w:val="bullet"/>
      <w:lvlText w:val="•"/>
      <w:lvlJc w:val="left"/>
      <w:pPr>
        <w:ind w:left="6987" w:firstLine="21192"/>
      </w:pPr>
      <w:rPr>
        <w:rFonts w:ascii="Arial" w:eastAsia="Arial" w:hAnsi="Arial" w:cs="Arial"/>
      </w:rPr>
    </w:lvl>
  </w:abstractNum>
  <w:abstractNum w:abstractNumId="14" w15:restartNumberingAfterBreak="0">
    <w:nsid w:val="76C113FF"/>
    <w:multiLevelType w:val="hybridMultilevel"/>
    <w:tmpl w:val="B5D684C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8A46D42"/>
    <w:multiLevelType w:val="hybridMultilevel"/>
    <w:tmpl w:val="9C482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15"/>
  </w:num>
  <w:num w:numId="5">
    <w:abstractNumId w:val="4"/>
  </w:num>
  <w:num w:numId="6">
    <w:abstractNumId w:val="10"/>
  </w:num>
  <w:num w:numId="7">
    <w:abstractNumId w:val="1"/>
  </w:num>
  <w:num w:numId="8">
    <w:abstractNumId w:val="3"/>
  </w:num>
  <w:num w:numId="9">
    <w:abstractNumId w:val="14"/>
  </w:num>
  <w:num w:numId="10">
    <w:abstractNumId w:val="9"/>
  </w:num>
  <w:num w:numId="11">
    <w:abstractNumId w:val="2"/>
  </w:num>
  <w:num w:numId="12">
    <w:abstractNumId w:val="12"/>
  </w:num>
  <w:num w:numId="13">
    <w:abstractNumId w:val="8"/>
  </w:num>
  <w:num w:numId="14">
    <w:abstractNumId w:val="6"/>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D7"/>
    <w:rsid w:val="0000118A"/>
    <w:rsid w:val="000E087E"/>
    <w:rsid w:val="000E31F4"/>
    <w:rsid w:val="002A0CB8"/>
    <w:rsid w:val="003F3DC1"/>
    <w:rsid w:val="005033D7"/>
    <w:rsid w:val="00593C59"/>
    <w:rsid w:val="005943FB"/>
    <w:rsid w:val="005A47C8"/>
    <w:rsid w:val="005B3B6A"/>
    <w:rsid w:val="0061411A"/>
    <w:rsid w:val="00697CE7"/>
    <w:rsid w:val="0072172B"/>
    <w:rsid w:val="00823B47"/>
    <w:rsid w:val="0083266E"/>
    <w:rsid w:val="008C31BF"/>
    <w:rsid w:val="009D1E57"/>
    <w:rsid w:val="00A9311D"/>
    <w:rsid w:val="00B10D10"/>
    <w:rsid w:val="00B471FB"/>
    <w:rsid w:val="00BC7AB4"/>
    <w:rsid w:val="00BE5078"/>
    <w:rsid w:val="00C52B0E"/>
    <w:rsid w:val="00D77454"/>
    <w:rsid w:val="00E85601"/>
    <w:rsid w:val="00EC117E"/>
    <w:rsid w:val="00F2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5AC14-0AF8-4468-837B-73E9E4F2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rsid w:val="00E85601"/>
    <w:pPr>
      <w:keepNext/>
      <w:keepLines/>
      <w:spacing w:after="161"/>
      <w:ind w:left="370" w:hanging="10"/>
      <w:outlineLvl w:val="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B47"/>
    <w:pPr>
      <w:ind w:left="720"/>
      <w:contextualSpacing/>
    </w:pPr>
  </w:style>
  <w:style w:type="character" w:customStyle="1" w:styleId="Heading1Char">
    <w:name w:val="Heading 1 Char"/>
    <w:basedOn w:val="DefaultParagraphFont"/>
    <w:link w:val="Heading1"/>
    <w:rsid w:val="00E85601"/>
    <w:rPr>
      <w:rFonts w:ascii="Times New Roman" w:eastAsia="Times New Roman" w:hAnsi="Times New Roman" w:cs="Times New Roman"/>
      <w:color w:val="000000"/>
      <w:sz w:val="28"/>
      <w:szCs w:val="28"/>
    </w:rPr>
  </w:style>
  <w:style w:type="paragraph" w:customStyle="1" w:styleId="Normal1">
    <w:name w:val="Normal1"/>
    <w:rsid w:val="00E85601"/>
    <w:pPr>
      <w:widowControl w:val="0"/>
    </w:pPr>
    <w:rPr>
      <w:rFonts w:ascii="Calibri" w:eastAsia="Calibri" w:hAnsi="Calibri" w:cs="Calibri"/>
      <w:color w:val="000000"/>
    </w:rPr>
  </w:style>
  <w:style w:type="character" w:customStyle="1" w:styleId="m8635809253711666040apple-style-span">
    <w:name w:val="m_8635809253711666040apple-style-span"/>
    <w:basedOn w:val="DefaultParagraphFont"/>
    <w:rsid w:val="00E85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Clark</dc:creator>
  <cp:keywords/>
  <dc:description/>
  <cp:lastModifiedBy>The College of New Jersey</cp:lastModifiedBy>
  <cp:revision>2</cp:revision>
  <dcterms:created xsi:type="dcterms:W3CDTF">2017-09-19T14:16:00Z</dcterms:created>
  <dcterms:modified xsi:type="dcterms:W3CDTF">2017-09-19T14:16:00Z</dcterms:modified>
</cp:coreProperties>
</file>