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FC" w:rsidRDefault="007C1CFC" w:rsidP="007C1CFC">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7C1CFC" w:rsidRDefault="007C1CFC" w:rsidP="007C1CFC">
      <w:pPr>
        <w:pStyle w:val="NormalWeb"/>
        <w:rPr>
          <w:color w:val="000000"/>
          <w:sz w:val="27"/>
          <w:szCs w:val="27"/>
        </w:rPr>
      </w:pPr>
      <w:r>
        <w:rPr>
          <w:b/>
          <w:bCs/>
          <w:color w:val="000000"/>
        </w:rPr>
        <w:t>TO: </w:t>
      </w:r>
      <w:r>
        <w:rPr>
          <w:color w:val="000000"/>
        </w:rPr>
        <w:t>Committee on Academic Programs</w:t>
      </w:r>
      <w:r>
        <w:rPr>
          <w:color w:val="000000"/>
          <w:sz w:val="27"/>
          <w:szCs w:val="27"/>
        </w:rPr>
        <w:t> </w:t>
      </w:r>
    </w:p>
    <w:p w:rsidR="007C1CFC" w:rsidRDefault="007C1CFC" w:rsidP="007C1CFC">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7C1CFC" w:rsidRDefault="007C1CFC" w:rsidP="007C1CFC">
      <w:pPr>
        <w:pStyle w:val="NormalWeb"/>
        <w:ind w:left="2160"/>
        <w:rPr>
          <w:color w:val="000000"/>
          <w:sz w:val="27"/>
          <w:szCs w:val="27"/>
        </w:rPr>
      </w:pPr>
      <w:r>
        <w:rPr>
          <w:b/>
          <w:bCs/>
          <w:color w:val="000000"/>
        </w:rPr>
        <w:t>RE: </w:t>
      </w:r>
      <w:r>
        <w:rPr>
          <w:color w:val="000000"/>
        </w:rPr>
        <w:t>Academic Dismissal Policy</w:t>
      </w:r>
      <w:r>
        <w:rPr>
          <w:color w:val="000000"/>
          <w:sz w:val="27"/>
          <w:szCs w:val="27"/>
        </w:rPr>
        <w:t> </w:t>
      </w:r>
    </w:p>
    <w:p w:rsidR="007C1CFC" w:rsidRDefault="007C1CFC" w:rsidP="007C1CFC">
      <w:pPr>
        <w:pStyle w:val="NormalWeb"/>
        <w:rPr>
          <w:color w:val="000000"/>
          <w:sz w:val="27"/>
          <w:szCs w:val="27"/>
        </w:rPr>
      </w:pPr>
      <w:r>
        <w:rPr>
          <w:b/>
          <w:bCs/>
          <w:color w:val="000000"/>
        </w:rPr>
        <w:t>DATE: </w:t>
      </w:r>
      <w:r>
        <w:rPr>
          <w:color w:val="000000"/>
        </w:rPr>
        <w:t>February 4, 2011</w:t>
      </w:r>
      <w:r>
        <w:rPr>
          <w:color w:val="000000"/>
          <w:sz w:val="27"/>
          <w:szCs w:val="27"/>
        </w:rPr>
        <w:t> </w:t>
      </w:r>
      <w:r>
        <w:rPr>
          <w:color w:val="000000"/>
          <w:sz w:val="27"/>
          <w:szCs w:val="27"/>
        </w:rPr>
        <w:br/>
        <w:t> </w:t>
      </w:r>
    </w:p>
    <w:p w:rsidR="007C1CFC" w:rsidRDefault="007C1CFC" w:rsidP="007C1CFC">
      <w:pPr>
        <w:pStyle w:val="NormalWeb"/>
        <w:rPr>
          <w:color w:val="000000"/>
          <w:sz w:val="27"/>
          <w:szCs w:val="27"/>
        </w:rPr>
      </w:pPr>
      <w:r>
        <w:rPr>
          <w:b/>
          <w:bCs/>
          <w:color w:val="000000"/>
          <w:u w:val="single"/>
        </w:rPr>
        <w:t>Background:</w:t>
      </w:r>
    </w:p>
    <w:p w:rsidR="007C1CFC" w:rsidRDefault="007C1CFC" w:rsidP="007C1CFC">
      <w:pPr>
        <w:pStyle w:val="NormalWeb"/>
        <w:rPr>
          <w:color w:val="000000"/>
          <w:sz w:val="27"/>
          <w:szCs w:val="27"/>
        </w:rPr>
      </w:pPr>
      <w:r>
        <w:rPr>
          <w:color w:val="000000"/>
        </w:rPr>
        <w:t>Attached is a memo from Prof. David Blake, chair of the English Department, raising questions about the college’s current academic dismissal policy. </w:t>
      </w:r>
      <w:r>
        <w:rPr>
          <w:rStyle w:val="apple-converted-space"/>
          <w:color w:val="000000"/>
        </w:rPr>
        <w:t> </w:t>
      </w:r>
      <w:r>
        <w:rPr>
          <w:color w:val="000000"/>
          <w:sz w:val="27"/>
          <w:szCs w:val="27"/>
        </w:rPr>
        <w:t> </w:t>
      </w:r>
    </w:p>
    <w:p w:rsidR="007C1CFC" w:rsidRDefault="007C1CFC" w:rsidP="007C1CFC">
      <w:pPr>
        <w:pStyle w:val="NormalWeb"/>
        <w:rPr>
          <w:color w:val="000000"/>
          <w:sz w:val="27"/>
          <w:szCs w:val="27"/>
        </w:rPr>
      </w:pPr>
      <w:r>
        <w:rPr>
          <w:b/>
          <w:bCs/>
          <w:color w:val="000000"/>
          <w:u w:val="single"/>
        </w:rPr>
        <w:t>Charge:</w:t>
      </w:r>
    </w:p>
    <w:p w:rsidR="007C1CFC" w:rsidRDefault="007C1CFC" w:rsidP="007C1CFC">
      <w:pPr>
        <w:pStyle w:val="NormalWeb"/>
        <w:rPr>
          <w:color w:val="000000"/>
          <w:sz w:val="27"/>
          <w:szCs w:val="27"/>
        </w:rPr>
      </w:pPr>
      <w:r>
        <w:rPr>
          <w:color w:val="000000"/>
        </w:rPr>
        <w:t>The Steering Committee requests that CAP review, Prof. Blake’s memo and decide whether the current dismissal policy (available at</w:t>
      </w:r>
      <w:r>
        <w:rPr>
          <w:rStyle w:val="apple-converted-space"/>
          <w:color w:val="000000"/>
        </w:rPr>
        <w:t> </w:t>
      </w:r>
      <w:hyperlink r:id="rId5" w:history="1">
        <w:r>
          <w:rPr>
            <w:rStyle w:val="Hyperlink"/>
          </w:rPr>
          <w:t>http://www.tcnj.edu/~academic/policy/dismissal.html</w:t>
        </w:r>
      </w:hyperlink>
      <w:r>
        <w:rPr>
          <w:color w:val="000000"/>
        </w:rPr>
        <w:t>) needs to be modified.  Should it be decided that the policy should be changed, CAP may want to consider how students’ previous academic records have been handled in the conditional readmission policy (</w:t>
      </w:r>
      <w:hyperlink r:id="rId6" w:history="1">
        <w:r>
          <w:rPr>
            <w:rStyle w:val="Hyperlink"/>
          </w:rPr>
          <w:t>http://www.tcnj.edu/~academic/policy/conditionalreadmission.html</w:t>
        </w:r>
      </w:hyperlink>
      <w:r>
        <w:rPr>
          <w:rStyle w:val="apple-converted-space"/>
          <w:color w:val="000000"/>
        </w:rPr>
        <w:t> </w:t>
      </w:r>
      <w:r>
        <w:rPr>
          <w:color w:val="000000"/>
        </w:rPr>
        <w:t>) and if this is relevant to the situation described by Prof. Blake.  If CAP recommends changes in the dismissal policy, it is asked to make a recommendation to make certain that a student is being monitored to insure realistic progress toward meeting all graduation requirements. </w:t>
      </w:r>
      <w:r>
        <w:rPr>
          <w:rStyle w:val="apple-converted-space"/>
          <w:color w:val="000000"/>
        </w:rPr>
        <w:t> </w:t>
      </w:r>
      <w:r>
        <w:rPr>
          <w:color w:val="000000"/>
          <w:sz w:val="27"/>
          <w:szCs w:val="27"/>
        </w:rPr>
        <w:t> </w:t>
      </w:r>
    </w:p>
    <w:p w:rsidR="007C1CFC" w:rsidRDefault="007C1CFC" w:rsidP="007C1CFC">
      <w:pPr>
        <w:pStyle w:val="NormalWeb"/>
        <w:rPr>
          <w:color w:val="000000"/>
          <w:sz w:val="27"/>
          <w:szCs w:val="27"/>
        </w:rPr>
      </w:pPr>
      <w:r>
        <w:rPr>
          <w:b/>
          <w:bCs/>
          <w:color w:val="000000"/>
          <w:u w:val="single"/>
        </w:rPr>
        <w:t>Timeline</w:t>
      </w:r>
      <w:r>
        <w:rPr>
          <w:b/>
          <w:bCs/>
          <w:color w:val="000000"/>
        </w:rPr>
        <w:t>: </w:t>
      </w:r>
    </w:p>
    <w:p w:rsidR="007C1CFC" w:rsidRDefault="007C1CFC" w:rsidP="007C1CFC">
      <w:pPr>
        <w:pStyle w:val="NormalWeb"/>
        <w:rPr>
          <w:color w:val="000000"/>
          <w:sz w:val="27"/>
          <w:szCs w:val="27"/>
        </w:rPr>
      </w:pPr>
      <w:r>
        <w:rPr>
          <w:color w:val="000000"/>
        </w:rPr>
        <w:t>The Steering Committee requests that this work be completed by the end of the Spring semester 2011.</w:t>
      </w:r>
      <w:r>
        <w:rPr>
          <w:rStyle w:val="apple-converted-space"/>
          <w:color w:val="000000"/>
        </w:rPr>
        <w:t> </w:t>
      </w:r>
      <w:r>
        <w:rPr>
          <w:color w:val="000000"/>
          <w:sz w:val="27"/>
          <w:szCs w:val="27"/>
        </w:rPr>
        <w:t> </w:t>
      </w:r>
    </w:p>
    <w:p w:rsidR="007C1CFC" w:rsidRDefault="007C1CFC" w:rsidP="007C1CFC">
      <w:pPr>
        <w:pStyle w:val="NormalWeb"/>
        <w:jc w:val="center"/>
        <w:rPr>
          <w:color w:val="000000"/>
          <w:sz w:val="27"/>
          <w:szCs w:val="27"/>
        </w:rPr>
      </w:pPr>
      <w:r>
        <w:rPr>
          <w:b/>
          <w:bCs/>
          <w:color w:val="000000"/>
        </w:rPr>
        <w:t>TCNJ Governance Processes</w:t>
      </w:r>
    </w:p>
    <w:p w:rsidR="007C1CFC" w:rsidRDefault="007C1CFC" w:rsidP="007C1CFC">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Pr>
            <w:rStyle w:val="Hyperlink"/>
          </w:rPr>
          <w:t>www.tcnj.edu/~steering</w:t>
        </w:r>
      </w:hyperlink>
      <w:r>
        <w:rPr>
          <w:rStyle w:val="apple-converted-space"/>
          <w:color w:val="000000"/>
        </w:rPr>
        <w:t> </w:t>
      </w:r>
      <w:r>
        <w:rPr>
          <w:color w:val="000000"/>
        </w:rPr>
        <w:t>).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w:t>
      </w:r>
    </w:p>
    <w:p w:rsidR="007C1CFC" w:rsidRDefault="007C1CFC" w:rsidP="007C1CFC">
      <w:pPr>
        <w:pStyle w:val="NormalWeb"/>
        <w:rPr>
          <w:color w:val="000000"/>
          <w:sz w:val="27"/>
          <w:szCs w:val="27"/>
        </w:rPr>
      </w:pPr>
      <w:r>
        <w:rPr>
          <w:b/>
          <w:bCs/>
          <w:color w:val="000000"/>
        </w:rPr>
        <w:lastRenderedPageBreak/>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7C1CFC" w:rsidRDefault="007C1CFC" w:rsidP="007C1CFC">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C1CFC" w:rsidRDefault="007C1CFC" w:rsidP="007C1CFC">
      <w:pPr>
        <w:pStyle w:val="NormalWeb"/>
        <w:rPr>
          <w:color w:val="000000"/>
          <w:sz w:val="27"/>
          <w:szCs w:val="27"/>
        </w:rPr>
      </w:pPr>
      <w:r>
        <w:rPr>
          <w:b/>
          <w:bCs/>
          <w:color w:val="000000"/>
        </w:rPr>
        <w:t>Testimony</w:t>
      </w:r>
    </w:p>
    <w:p w:rsidR="007C1CFC" w:rsidRDefault="007C1CFC" w:rsidP="007C1CFC">
      <w:pPr>
        <w:pStyle w:val="NormalWeb"/>
        <w:rPr>
          <w:color w:val="000000"/>
          <w:sz w:val="27"/>
          <w:szCs w:val="27"/>
        </w:rPr>
      </w:pPr>
      <w:r>
        <w:rPr>
          <w:color w:val="000000"/>
        </w:rPr>
        <w:t>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r>
        <w:rPr>
          <w:color w:val="000000"/>
          <w:sz w:val="27"/>
          <w:szCs w:val="27"/>
        </w:rPr>
        <w:b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FC"/>
    <w:rsid w:val="007C1CFC"/>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CFC"/>
  </w:style>
  <w:style w:type="character" w:styleId="Hyperlink">
    <w:name w:val="Hyperlink"/>
    <w:basedOn w:val="DefaultParagraphFont"/>
    <w:uiPriority w:val="99"/>
    <w:semiHidden/>
    <w:unhideWhenUsed/>
    <w:rsid w:val="007C1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CFC"/>
  </w:style>
  <w:style w:type="character" w:styleId="Hyperlink">
    <w:name w:val="Hyperlink"/>
    <w:basedOn w:val="DefaultParagraphFont"/>
    <w:uiPriority w:val="99"/>
    <w:semiHidden/>
    <w:unhideWhenUsed/>
    <w:rsid w:val="007C1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2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nj.edu/~stee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academic/policy/conditionalreadmission.html" TargetMode="External"/><Relationship Id="rId5" Type="http://schemas.openxmlformats.org/officeDocument/2006/relationships/hyperlink" Target="http://www.tcnj.edu/~academic/policy/dismissa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4095</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2013-09-04T14:05:00Z</dcterms:created>
  <dcterms:modified xsi:type="dcterms:W3CDTF">2013-09-04T14:06:00Z</dcterms:modified>
</cp:coreProperties>
</file>