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D" w:rsidRPr="007A5DC8" w:rsidRDefault="004875E8" w:rsidP="007A5DC8">
      <w:pPr>
        <w:spacing w:line="360" w:lineRule="auto"/>
      </w:pPr>
      <w:bookmarkStart w:id="0" w:name="_GoBack"/>
      <w:bookmarkEnd w:id="0"/>
      <w:r w:rsidRPr="00B3738D">
        <w:rPr>
          <w:b/>
        </w:rPr>
        <w:t>To:</w:t>
      </w:r>
      <w:r>
        <w:t xml:space="preserve">  </w:t>
      </w:r>
      <w:r w:rsidR="00EE786B">
        <w:tab/>
      </w:r>
      <w:r w:rsidR="00170AC6">
        <w:t>Steering Committee</w:t>
      </w:r>
    </w:p>
    <w:p w:rsidR="00B3738D" w:rsidRPr="007A5DC8" w:rsidRDefault="004875E8" w:rsidP="007A5DC8">
      <w:pPr>
        <w:spacing w:line="360" w:lineRule="auto"/>
      </w:pPr>
      <w:r w:rsidRPr="00B3738D">
        <w:rPr>
          <w:b/>
        </w:rPr>
        <w:t xml:space="preserve">From: </w:t>
      </w:r>
      <w:r>
        <w:t xml:space="preserve"> </w:t>
      </w:r>
      <w:r w:rsidR="00170AC6">
        <w:t xml:space="preserve">Committee on Faculty Affairs </w:t>
      </w:r>
    </w:p>
    <w:p w:rsidR="00B3738D" w:rsidRPr="007A5DC8" w:rsidRDefault="004875E8" w:rsidP="007A5DC8">
      <w:pPr>
        <w:spacing w:line="360" w:lineRule="auto"/>
      </w:pPr>
      <w:r w:rsidRPr="00B3738D">
        <w:rPr>
          <w:b/>
        </w:rPr>
        <w:t>Re:</w:t>
      </w:r>
      <w:r>
        <w:t xml:space="preserve">  </w:t>
      </w:r>
      <w:r w:rsidR="00EE786B">
        <w:tab/>
      </w:r>
      <w:r w:rsidR="003B7236">
        <w:t>Final R</w:t>
      </w:r>
      <w:r w:rsidR="007A135A">
        <w:t>ecommendation on SOSA</w:t>
      </w:r>
    </w:p>
    <w:p w:rsidR="00B5116F" w:rsidRDefault="00B5116F" w:rsidP="007A5DC8">
      <w:pPr>
        <w:spacing w:line="360" w:lineRule="auto"/>
      </w:pPr>
      <w:r w:rsidRPr="00B3738D">
        <w:rPr>
          <w:b/>
        </w:rPr>
        <w:t>Date:</w:t>
      </w:r>
      <w:r>
        <w:t xml:space="preserve">  </w:t>
      </w:r>
      <w:r w:rsidR="00EE786B">
        <w:tab/>
      </w:r>
      <w:r w:rsidR="007A135A">
        <w:t xml:space="preserve">May </w:t>
      </w:r>
      <w:r w:rsidR="00B436AF">
        <w:t>12</w:t>
      </w:r>
      <w:r w:rsidR="007A135A">
        <w:t>, 2011</w:t>
      </w:r>
    </w:p>
    <w:p w:rsidR="007A135A" w:rsidRDefault="007A135A"/>
    <w:p w:rsidR="007A135A" w:rsidRPr="003B7236" w:rsidRDefault="004646FF">
      <w:pPr>
        <w:rPr>
          <w:b/>
          <w:u w:val="single"/>
        </w:rPr>
      </w:pPr>
      <w:r w:rsidRPr="004646FF">
        <w:rPr>
          <w:b/>
          <w:u w:val="single"/>
        </w:rPr>
        <w:t>Original Charge from Steering</w:t>
      </w:r>
    </w:p>
    <w:p w:rsidR="00625452" w:rsidRDefault="00625452"/>
    <w:p w:rsidR="00A85AC5" w:rsidRDefault="004646FF" w:rsidP="00A85AC5">
      <w:pPr>
        <w:rPr>
          <w:b/>
          <w:u w:val="single"/>
        </w:rPr>
      </w:pPr>
      <w:r w:rsidRPr="004646FF">
        <w:rPr>
          <w:u w:val="single"/>
        </w:rPr>
        <w:t>Background</w:t>
      </w:r>
    </w:p>
    <w:p w:rsidR="0089612A" w:rsidRDefault="0089612A" w:rsidP="00A85AC5"/>
    <w:p w:rsidR="00BF77F0" w:rsidRDefault="00115DA5" w:rsidP="004A2975">
      <w:r>
        <w:t>Recent discussions with the Committe</w:t>
      </w:r>
      <w:r w:rsidR="000D22B0">
        <w:t xml:space="preserve">e on Faculty Affairs have alerted </w:t>
      </w:r>
      <w:r>
        <w:t xml:space="preserve">Steering to the fact that there is no </w:t>
      </w:r>
      <w:r w:rsidR="00093223">
        <w:t xml:space="preserve">single </w:t>
      </w:r>
      <w:r>
        <w:t xml:space="preserve">current document describing the purpose, principles and procedures guiding the SOSA program. </w:t>
      </w:r>
      <w:r w:rsidR="006F66A3">
        <w:t xml:space="preserve">There are approximations to such a document including the original proposal that created the SOSA program </w:t>
      </w:r>
      <w:r w:rsidR="00BF77F0">
        <w:t>in 2000</w:t>
      </w:r>
      <w:r w:rsidR="00DA6787">
        <w:t>,</w:t>
      </w:r>
      <w:r w:rsidR="00433FAC">
        <w:t xml:space="preserve"> </w:t>
      </w:r>
      <w:r w:rsidR="006F66A3">
        <w:t xml:space="preserve">which </w:t>
      </w:r>
      <w:r w:rsidR="00433FAC">
        <w:t xml:space="preserve">is </w:t>
      </w:r>
      <w:r w:rsidR="006F66A3">
        <w:t>describe</w:t>
      </w:r>
      <w:r w:rsidR="00433FAC">
        <w:t xml:space="preserve">d </w:t>
      </w:r>
      <w:r w:rsidR="006F66A3">
        <w:t xml:space="preserve">as “…a transitional, short-term model that will be implemented until long-term systematic changes are made with respect to faculty course load.” Additionally, the SOSA process was reviewed in 2005 and 2008 when major changes with respect to the types of available awards were made. </w:t>
      </w:r>
      <w:r w:rsidR="008254BA">
        <w:t xml:space="preserve">The original proposal and the results of the 2008 review are available </w:t>
      </w:r>
      <w:r w:rsidR="00433FAC">
        <w:t>at</w:t>
      </w:r>
      <w:r w:rsidR="008254BA">
        <w:t xml:space="preserve"> </w:t>
      </w:r>
      <w:hyperlink r:id="rId8" w:history="1">
        <w:r w:rsidR="008254BA" w:rsidRPr="00BA120B">
          <w:rPr>
            <w:rStyle w:val="Hyperlink"/>
          </w:rPr>
          <w:t>http://www.tcnj.edu/~academic/research/index.html</w:t>
        </w:r>
      </w:hyperlink>
      <w:r w:rsidR="008254BA">
        <w:t xml:space="preserve">. </w:t>
      </w:r>
      <w:r w:rsidR="00BF77F0">
        <w:t>Instead of relying on a central defining document</w:t>
      </w:r>
      <w:r w:rsidR="004A2975">
        <w:t xml:space="preserve"> that reflected community input and approval through governance</w:t>
      </w:r>
      <w:r w:rsidR="00BF77F0">
        <w:t xml:space="preserve">, the purposes and processes governing the SOSA program were outlined in a </w:t>
      </w:r>
      <w:r w:rsidR="00433FAC">
        <w:t xml:space="preserve">changing </w:t>
      </w:r>
      <w:r w:rsidR="00BF77F0">
        <w:t>succession of RFPs</w:t>
      </w:r>
      <w:r w:rsidR="00433FAC">
        <w:t xml:space="preserve">.  </w:t>
      </w:r>
      <w:r w:rsidR="00BF77F0">
        <w:t xml:space="preserve"> </w:t>
      </w:r>
    </w:p>
    <w:p w:rsidR="00BF77F0" w:rsidRDefault="00BF77F0" w:rsidP="00A85AC5"/>
    <w:p w:rsidR="00A85AC5" w:rsidRPr="003B7236" w:rsidRDefault="004646FF" w:rsidP="00A85AC5">
      <w:pPr>
        <w:rPr>
          <w:u w:val="single"/>
        </w:rPr>
      </w:pPr>
      <w:r w:rsidRPr="004646FF">
        <w:rPr>
          <w:u w:val="single"/>
        </w:rPr>
        <w:t>Charge</w:t>
      </w:r>
    </w:p>
    <w:p w:rsidR="002A272D" w:rsidRDefault="002A272D" w:rsidP="00A85AC5"/>
    <w:p w:rsidR="00BF77F0" w:rsidRDefault="005961ED" w:rsidP="00A85AC5">
      <w:r>
        <w:t xml:space="preserve">The Steering Committee charges the Committee on Faculty Affairs to </w:t>
      </w:r>
      <w:r w:rsidR="00BF77F0">
        <w:t xml:space="preserve">develop a SOSA document that: </w:t>
      </w:r>
    </w:p>
    <w:p w:rsidR="00BF77F0" w:rsidRDefault="00BF77F0" w:rsidP="00BF77F0">
      <w:pPr>
        <w:pStyle w:val="ListParagraph"/>
        <w:numPr>
          <w:ilvl w:val="0"/>
          <w:numId w:val="3"/>
        </w:numPr>
      </w:pPr>
      <w:r>
        <w:t xml:space="preserve">describes the enduring principles which define the purposes and mission of the SOSA program; </w:t>
      </w:r>
    </w:p>
    <w:p w:rsidR="00BF77F0" w:rsidRDefault="00CC2D6B" w:rsidP="00BF77F0">
      <w:pPr>
        <w:pStyle w:val="ListParagraph"/>
        <w:numPr>
          <w:ilvl w:val="0"/>
          <w:numId w:val="3"/>
        </w:numPr>
      </w:pPr>
      <w:r>
        <w:t xml:space="preserve">describes </w:t>
      </w:r>
      <w:r w:rsidR="00BF77F0">
        <w:t>the principles guiding the various factors by which proposals are to be judged;</w:t>
      </w:r>
      <w:r>
        <w:t xml:space="preserve"> and</w:t>
      </w:r>
      <w:r w:rsidR="00BF77F0">
        <w:t xml:space="preserve"> </w:t>
      </w:r>
    </w:p>
    <w:p w:rsidR="004A2975" w:rsidRDefault="00CC2D6B" w:rsidP="00CC2D6B">
      <w:pPr>
        <w:pStyle w:val="ListParagraph"/>
        <w:numPr>
          <w:ilvl w:val="0"/>
          <w:numId w:val="3"/>
        </w:numPr>
      </w:pPr>
      <w:r>
        <w:t xml:space="preserve">describes </w:t>
      </w:r>
      <w:r w:rsidR="000B7B31">
        <w:t>the principles defining which types of projects are eligible to receive support</w:t>
      </w:r>
      <w:r w:rsidR="004A2975">
        <w:t>.</w:t>
      </w:r>
    </w:p>
    <w:p w:rsidR="000B7B31" w:rsidRDefault="00CC2D6B" w:rsidP="004A2975">
      <w:pPr>
        <w:ind w:left="360"/>
      </w:pPr>
      <w:r>
        <w:t xml:space="preserve"> </w:t>
      </w:r>
    </w:p>
    <w:p w:rsidR="00CC2D6B" w:rsidRDefault="000D22B0" w:rsidP="000B7B31">
      <w:r>
        <w:t>Such a document should provide</w:t>
      </w:r>
      <w:r w:rsidR="00CC2D6B">
        <w:t xml:space="preserve"> a basis from which future RFPs can be drafted</w:t>
      </w:r>
      <w:r w:rsidR="004A2975">
        <w:t xml:space="preserve"> each year</w:t>
      </w:r>
      <w:r w:rsidR="00CC2D6B">
        <w:t xml:space="preserve">. Also, the </w:t>
      </w:r>
      <w:r w:rsidR="004A2975">
        <w:t xml:space="preserve">resulting </w:t>
      </w:r>
      <w:r w:rsidR="00CC2D6B">
        <w:t>SOSA document</w:t>
      </w:r>
      <w:r w:rsidR="004A2975">
        <w:t xml:space="preserve"> and its implementation</w:t>
      </w:r>
      <w:r w:rsidR="00CC2D6B">
        <w:t xml:space="preserve"> will be the subject of future reviews</w:t>
      </w:r>
      <w:r w:rsidR="004A2975">
        <w:t>.</w:t>
      </w:r>
    </w:p>
    <w:p w:rsidR="00CC2D6B" w:rsidRDefault="00CC2D6B" w:rsidP="000B7B31"/>
    <w:p w:rsidR="000B7B31" w:rsidRDefault="000B7B31" w:rsidP="000B7B31">
      <w:r>
        <w:t>Additionally, we note that CFA is currently charged with determining a process by which the SOSA committee reviews applications from its membership. A recommendation concerning this more narrow charge can be folded in to a preliminary recommendation meeting this broader charge. However, i</w:t>
      </w:r>
      <w:r w:rsidR="004A2975">
        <w:t xml:space="preserve">n case CFA cannot complete the broader </w:t>
      </w:r>
      <w:r>
        <w:t>charge in time for the next SOSA cycle, CFA is asked to complete its work on the more narrow charge in time for th</w:t>
      </w:r>
      <w:r w:rsidR="004A2975">
        <w:t xml:space="preserve">at </w:t>
      </w:r>
      <w:r>
        <w:t>cycle. Similarly, CFA might need to create the RFP for the next SOSA cycle before it has a chance to finish its work on this charge. In that case, CFA is ask</w:t>
      </w:r>
      <w:r w:rsidR="009052D1">
        <w:t xml:space="preserve">ed to create the RFP in such a way that it does </w:t>
      </w:r>
      <w:r w:rsidR="00EF1A04">
        <w:t xml:space="preserve">not </w:t>
      </w:r>
      <w:r w:rsidR="009052D1">
        <w:t xml:space="preserve">represent a change of principles from recent RFPs. </w:t>
      </w:r>
    </w:p>
    <w:p w:rsidR="00BF77F0" w:rsidRDefault="00BF77F0" w:rsidP="000B7B31"/>
    <w:p w:rsidR="000B7B31" w:rsidRDefault="000B7B31" w:rsidP="000B7B31">
      <w:r>
        <w:t>In its deliberation, Steering asks CFA to consider the membership of</w:t>
      </w:r>
      <w:r w:rsidR="009052D1">
        <w:t xml:space="preserve"> SOSA. If CFA feels that </w:t>
      </w:r>
      <w:r w:rsidR="00F7493F">
        <w:t xml:space="preserve">changes in </w:t>
      </w:r>
      <w:r w:rsidR="009052D1">
        <w:t xml:space="preserve">committee make-up </w:t>
      </w:r>
      <w:r w:rsidR="00F7493F">
        <w:t>are</w:t>
      </w:r>
      <w:r w:rsidR="009052D1">
        <w:t xml:space="preserve"> appropriate, CFA is asked to give such a suggestion to the Steering Committee which will consider it as input to the </w:t>
      </w:r>
      <w:r w:rsidR="00077F2B">
        <w:t>ongoing review of governance.</w:t>
      </w:r>
    </w:p>
    <w:p w:rsidR="00BF77F0" w:rsidRDefault="00CC2D6B" w:rsidP="00A85AC5">
      <w:r>
        <w:lastRenderedPageBreak/>
        <w:t>Lastly</w:t>
      </w:r>
      <w:r w:rsidR="005E6A80">
        <w:t>,</w:t>
      </w:r>
      <w:r>
        <w:t xml:space="preserve"> we note that the testimony that CFA receives to create a preliminary recommendation should include any input from recent chairs </w:t>
      </w:r>
      <w:r w:rsidR="00EF1A04">
        <w:t xml:space="preserve">and </w:t>
      </w:r>
      <w:r>
        <w:t>members of the SOSA committee. Of course, broad community input must inform the development of any final recommendation</w:t>
      </w:r>
      <w:r w:rsidR="005E6A80">
        <w:t>, and we note that a survey of faculty provided useful information at the time of the last SOSA review</w:t>
      </w:r>
      <w:r>
        <w:t>.</w:t>
      </w:r>
    </w:p>
    <w:p w:rsidR="00A85AC5" w:rsidRDefault="00A85AC5">
      <w:pPr>
        <w:rPr>
          <w:b/>
          <w:u w:val="single"/>
        </w:rPr>
      </w:pPr>
    </w:p>
    <w:p w:rsidR="00170AC6" w:rsidRDefault="00170AC6">
      <w:pPr>
        <w:rPr>
          <w:b/>
          <w:u w:val="single"/>
        </w:rPr>
      </w:pPr>
      <w:r>
        <w:rPr>
          <w:b/>
          <w:u w:val="single"/>
        </w:rPr>
        <w:t xml:space="preserve">Background to </w:t>
      </w:r>
      <w:r w:rsidR="003F4B36">
        <w:rPr>
          <w:b/>
          <w:u w:val="single"/>
        </w:rPr>
        <w:t>CFA’s</w:t>
      </w:r>
      <w:r>
        <w:rPr>
          <w:b/>
          <w:u w:val="single"/>
        </w:rPr>
        <w:t xml:space="preserve"> Recommendation</w:t>
      </w:r>
      <w:r w:rsidR="003C5022">
        <w:rPr>
          <w:b/>
          <w:u w:val="single"/>
        </w:rPr>
        <w:t>s</w:t>
      </w:r>
    </w:p>
    <w:p w:rsidR="008F3B75" w:rsidRDefault="008F3B75"/>
    <w:p w:rsidR="00B436AF" w:rsidRDefault="00AA4E96" w:rsidP="007A135A">
      <w:r>
        <w:t xml:space="preserve">Because </w:t>
      </w:r>
      <w:r w:rsidR="00EB7497">
        <w:t xml:space="preserve">the </w:t>
      </w:r>
      <w:r>
        <w:t xml:space="preserve">SOSA </w:t>
      </w:r>
      <w:r w:rsidR="00EB7497">
        <w:t xml:space="preserve">Committee </w:t>
      </w:r>
      <w:r>
        <w:t>reports to CFA</w:t>
      </w:r>
      <w:r w:rsidR="00EB7497">
        <w:t>,</w:t>
      </w:r>
      <w:r>
        <w:t xml:space="preserve"> and the</w:t>
      </w:r>
      <w:r w:rsidR="008F3B75">
        <w:t xml:space="preserve"> Chairs of the SOSA Committee </w:t>
      </w:r>
      <w:r w:rsidR="006A62AF">
        <w:t xml:space="preserve">are members of CFA, CFA has </w:t>
      </w:r>
      <w:r w:rsidR="00EB7497">
        <w:t>received</w:t>
      </w:r>
      <w:r>
        <w:t xml:space="preserve"> significant </w:t>
      </w:r>
      <w:r w:rsidR="00B436AF">
        <w:t xml:space="preserve">and sustained </w:t>
      </w:r>
      <w:r>
        <w:t>feedback from the SOSA Committees</w:t>
      </w:r>
      <w:r w:rsidR="00EB7497">
        <w:t>, with</w:t>
      </w:r>
      <w:r>
        <w:t xml:space="preserve"> </w:t>
      </w:r>
      <w:r w:rsidR="00B436AF">
        <w:t xml:space="preserve">ongoing </w:t>
      </w:r>
      <w:r>
        <w:t xml:space="preserve">concerns about the effectiveness and fairness of the process. The modifications that followed the </w:t>
      </w:r>
      <w:r w:rsidR="00B436AF">
        <w:t xml:space="preserve">SOSA </w:t>
      </w:r>
      <w:r w:rsidR="006A62AF">
        <w:t>review of 2008 addressed some of the issues, but many remained outstanding.</w:t>
      </w:r>
      <w:r>
        <w:t xml:space="preserve"> </w:t>
      </w:r>
      <w:r w:rsidR="006A62AF">
        <w:t xml:space="preserve">Janet Gray and Lisa Grega, Chairs of the </w:t>
      </w:r>
      <w:r>
        <w:t xml:space="preserve">SOSA Committees </w:t>
      </w:r>
      <w:r w:rsidR="006A62AF">
        <w:t>for 2008-2009 and 2009-2010 respectively, each</w:t>
      </w:r>
      <w:r w:rsidR="008F3B75">
        <w:t xml:space="preserve"> submitted </w:t>
      </w:r>
      <w:r w:rsidR="006A62AF">
        <w:t xml:space="preserve">lengthy </w:t>
      </w:r>
      <w:r w:rsidR="008F3B75">
        <w:t xml:space="preserve">memos with year-end recommendations </w:t>
      </w:r>
      <w:r w:rsidR="006A62AF">
        <w:t xml:space="preserve">from the SOSA Committees </w:t>
      </w:r>
      <w:r w:rsidR="008F3B75">
        <w:t xml:space="preserve">to CFA. </w:t>
      </w:r>
      <w:r w:rsidR="006A62AF">
        <w:t>These memos formed the starting point of CFA</w:t>
      </w:r>
      <w:r w:rsidR="00FE61E0">
        <w:t>’</w:t>
      </w:r>
      <w:r w:rsidR="006A62AF">
        <w:t>s deliberations on the SOSA process this year.</w:t>
      </w:r>
      <w:r w:rsidR="00760B01">
        <w:t xml:space="preserve"> </w:t>
      </w:r>
    </w:p>
    <w:p w:rsidR="00B436AF" w:rsidRDefault="00B436AF" w:rsidP="007A135A"/>
    <w:p w:rsidR="00405F8E" w:rsidRDefault="00B436AF" w:rsidP="007A135A">
      <w:r>
        <w:t>In addition to the sustained feedback from the SOSA Committee</w:t>
      </w:r>
      <w:r w:rsidR="007A135A">
        <w:t xml:space="preserve">, various </w:t>
      </w:r>
      <w:r w:rsidR="00625452">
        <w:t xml:space="preserve">CFA </w:t>
      </w:r>
      <w:r w:rsidR="007A135A">
        <w:t>sub</w:t>
      </w:r>
      <w:r w:rsidR="00EB7497">
        <w:t>-</w:t>
      </w:r>
      <w:r w:rsidR="007A135A">
        <w:t xml:space="preserve">committees </w:t>
      </w:r>
      <w:r w:rsidR="0094245B">
        <w:t xml:space="preserve">were formed to make preliminary recommendations on various aspects of the </w:t>
      </w:r>
      <w:r w:rsidR="00625452">
        <w:t xml:space="preserve">SOSA </w:t>
      </w:r>
      <w:r w:rsidR="0094245B">
        <w:t>process. While gathering evidence, some of these sub</w:t>
      </w:r>
      <w:r w:rsidR="00EB7497">
        <w:t>-</w:t>
      </w:r>
      <w:r w:rsidR="0094245B">
        <w:t>committees c</w:t>
      </w:r>
      <w:r w:rsidR="007A135A">
        <w:t xml:space="preserve">onsulted with </w:t>
      </w:r>
      <w:r>
        <w:t xml:space="preserve">Dr. </w:t>
      </w:r>
      <w:r w:rsidR="007A135A">
        <w:t xml:space="preserve">Candice Feiring, the Provost’s representative to the SOSA </w:t>
      </w:r>
      <w:r w:rsidR="00EB7497">
        <w:t>C</w:t>
      </w:r>
      <w:r w:rsidR="007A135A">
        <w:t xml:space="preserve">ommittee for the last 5 years. Dr. Feiring also provided feedback on preliminary versions of our proposals, and she met with CFA as a whole to participate in discussions about SOSA. CFA as a whole also met with </w:t>
      </w:r>
      <w:r w:rsidR="00EB7497">
        <w:t xml:space="preserve">Dr. </w:t>
      </w:r>
      <w:r w:rsidR="007A135A">
        <w:t xml:space="preserve">Janet Morrison, Chair of the MUSE Program, to discuss the process and rubric used to evaluate MUSE proposals. </w:t>
      </w:r>
      <w:r>
        <w:t xml:space="preserve">Whereas MUSE has a different mission that SOSA, </w:t>
      </w:r>
      <w:r w:rsidR="00405F8E">
        <w:t xml:space="preserve">the two programs are similar in that they are both competitive and merit-based, and they rely on a multi-disciplinary committee to review scholarly-based proposals. </w:t>
      </w:r>
    </w:p>
    <w:p w:rsidR="00405F8E" w:rsidRDefault="00405F8E" w:rsidP="007A135A"/>
    <w:p w:rsidR="00405F8E" w:rsidRDefault="00625452" w:rsidP="007A135A">
      <w:r>
        <w:t xml:space="preserve">Based on this testimony and our deliberations, </w:t>
      </w:r>
      <w:r w:rsidR="007A135A">
        <w:t xml:space="preserve">CFA released a Preliminary Recommendation </w:t>
      </w:r>
      <w:r w:rsidR="00405F8E">
        <w:t xml:space="preserve">to the campus </w:t>
      </w:r>
      <w:r w:rsidR="007A135A">
        <w:t>on April 7, 2011</w:t>
      </w:r>
      <w:r w:rsidR="00405F8E">
        <w:t>.  Following this, CFA</w:t>
      </w:r>
      <w:r w:rsidR="007A135A">
        <w:t xml:space="preserve"> received </w:t>
      </w:r>
      <w:r>
        <w:t xml:space="preserve">feedback </w:t>
      </w:r>
      <w:r w:rsidR="007A135A">
        <w:t xml:space="preserve">from the faculty </w:t>
      </w:r>
      <w:r w:rsidR="00BE4EFD">
        <w:t>during two Open Forums (April 20 and April 21</w:t>
      </w:r>
      <w:r w:rsidR="007A135A">
        <w:t>)</w:t>
      </w:r>
      <w:r>
        <w:t>;</w:t>
      </w:r>
      <w:r w:rsidR="007A135A">
        <w:t xml:space="preserve"> via email messages sent to </w:t>
      </w:r>
      <w:r w:rsidR="00F6541C">
        <w:t>the Chair of CFA</w:t>
      </w:r>
      <w:r>
        <w:t>;</w:t>
      </w:r>
      <w:r w:rsidR="007A135A">
        <w:t xml:space="preserve"> in the form of responses to a Qualtrics </w:t>
      </w:r>
      <w:r w:rsidR="00EB7497">
        <w:t>open-ended feedback question</w:t>
      </w:r>
      <w:r w:rsidR="000E289D">
        <w:t>n</w:t>
      </w:r>
      <w:r w:rsidR="00EB7497">
        <w:t>aire</w:t>
      </w:r>
      <w:r>
        <w:t>;</w:t>
      </w:r>
      <w:r w:rsidR="007A135A">
        <w:t xml:space="preserve"> and in a memo from the </w:t>
      </w:r>
      <w:r w:rsidR="00EB7497">
        <w:t xml:space="preserve">Faculty </w:t>
      </w:r>
      <w:r w:rsidR="007A135A">
        <w:t xml:space="preserve">Senate Executive Board. </w:t>
      </w:r>
      <w:r w:rsidR="00EB7497">
        <w:t xml:space="preserve"> Following this range of feedback, o</w:t>
      </w:r>
      <w:r w:rsidR="007A135A">
        <w:t>n April 26, 2011, CFA opened a</w:t>
      </w:r>
      <w:r w:rsidR="00BB5187">
        <w:t xml:space="preserve"> broader</w:t>
      </w:r>
      <w:r w:rsidR="00EB7497">
        <w:t xml:space="preserve"> </w:t>
      </w:r>
      <w:r w:rsidR="00405F8E">
        <w:t xml:space="preserve">Qualtrics </w:t>
      </w:r>
      <w:r w:rsidR="007A135A">
        <w:t>Survey on SOSA</w:t>
      </w:r>
      <w:r w:rsidR="00EB7497">
        <w:t>; this survey</w:t>
      </w:r>
      <w:r w:rsidR="007A135A">
        <w:t xml:space="preserve"> consist</w:t>
      </w:r>
      <w:r w:rsidR="00EB7497">
        <w:t>ed</w:t>
      </w:r>
      <w:r w:rsidR="007A135A">
        <w:t xml:space="preserve"> of 21 questions</w:t>
      </w:r>
      <w:r w:rsidR="00C141CA">
        <w:t xml:space="preserve"> and solicited </w:t>
      </w:r>
      <w:r>
        <w:t xml:space="preserve">further, more specific </w:t>
      </w:r>
      <w:r w:rsidR="00C141CA">
        <w:t>feedback from the faculty</w:t>
      </w:r>
      <w:r w:rsidR="007A135A">
        <w:t>.</w:t>
      </w:r>
      <w:r w:rsidR="00C141CA">
        <w:t xml:space="preserve"> The survey closed on May 10, 2011. There were 145 respondents</w:t>
      </w:r>
      <w:r w:rsidR="00C00F4A">
        <w:t>.  This was a substantial response rate</w:t>
      </w:r>
      <w:r w:rsidR="00405F8E">
        <w:t xml:space="preserve"> (ca. 44% of the faculty)</w:t>
      </w:r>
      <w:r w:rsidR="00C00F4A">
        <w:t>; for context, when CFA conducted a similar electronic survey of the faculty in 2008, that survey resulted in 94 responses</w:t>
      </w:r>
      <w:r w:rsidR="00405F8E">
        <w:t xml:space="preserve"> (ca. 27%)</w:t>
      </w:r>
      <w:r w:rsidR="00C00F4A">
        <w:t>.</w:t>
      </w:r>
    </w:p>
    <w:p w:rsidR="005E5DB3" w:rsidRDefault="005E5DB3" w:rsidP="007A135A"/>
    <w:p w:rsidR="005E5DB3" w:rsidRPr="005E5DB3" w:rsidRDefault="00F6541C">
      <w:r>
        <w:t>After analysis and consideration of all of the testimony and feedback,</w:t>
      </w:r>
      <w:r w:rsidR="00405F8E">
        <w:t xml:space="preserve"> which is extensive and collectively robust relative to the majority of issues that CFA brings to the faculty for comment, </w:t>
      </w:r>
      <w:r>
        <w:t xml:space="preserve">CFA has made significant revisions to </w:t>
      </w:r>
      <w:r w:rsidR="00405F8E">
        <w:t xml:space="preserve">its preliminary </w:t>
      </w:r>
      <w:r>
        <w:t>recommendation</w:t>
      </w:r>
      <w:r w:rsidR="00603C9E">
        <w:t xml:space="preserve">.  The changes </w:t>
      </w:r>
      <w:r>
        <w:t xml:space="preserve">focus on three areas in particular: the enduring principles, the </w:t>
      </w:r>
      <w:r w:rsidR="00603C9E">
        <w:t>proposal evaluation process and procedures</w:t>
      </w:r>
      <w:r>
        <w:t xml:space="preserve">, and the </w:t>
      </w:r>
      <w:r w:rsidR="00603C9E">
        <w:t xml:space="preserve">evaluation </w:t>
      </w:r>
      <w:r>
        <w:t xml:space="preserve">rubric. </w:t>
      </w:r>
    </w:p>
    <w:p w:rsidR="00603C9E" w:rsidRDefault="00603C9E">
      <w:pPr>
        <w:rPr>
          <w:b/>
        </w:rPr>
      </w:pPr>
    </w:p>
    <w:p w:rsidR="00603C9E" w:rsidRDefault="00603C9E">
      <w:pPr>
        <w:rPr>
          <w:b/>
        </w:rPr>
      </w:pPr>
    </w:p>
    <w:p w:rsidR="004851A7" w:rsidRDefault="004851A7">
      <w:pPr>
        <w:rPr>
          <w:b/>
        </w:rPr>
      </w:pPr>
      <w:r>
        <w:rPr>
          <w:b/>
        </w:rPr>
        <w:br w:type="page"/>
      </w:r>
    </w:p>
    <w:p w:rsidR="00603C9E" w:rsidRPr="00603C9E" w:rsidRDefault="00CE69E4">
      <w:pPr>
        <w:rPr>
          <w:b/>
        </w:rPr>
      </w:pPr>
      <w:r w:rsidRPr="00CE69E4">
        <w:rPr>
          <w:b/>
        </w:rPr>
        <w:lastRenderedPageBreak/>
        <w:t>Final Recommen</w:t>
      </w:r>
      <w:r w:rsidR="00603C9E">
        <w:rPr>
          <w:b/>
        </w:rPr>
        <w:t>d</w:t>
      </w:r>
      <w:r w:rsidRPr="00CE69E4">
        <w:rPr>
          <w:b/>
        </w:rPr>
        <w:t>ations</w:t>
      </w:r>
    </w:p>
    <w:p w:rsidR="00603C9E" w:rsidRDefault="00603C9E"/>
    <w:p w:rsidR="00603C9E" w:rsidRDefault="00603C9E" w:rsidP="00603C9E">
      <w:r>
        <w:t xml:space="preserve">The CFA’s final recommendations are summarized in this memorandum, and they are integrated </w:t>
      </w:r>
      <w:r w:rsidR="00A626B2">
        <w:t xml:space="preserve">in a holistic manner </w:t>
      </w:r>
      <w:r>
        <w:t>into the two documents</w:t>
      </w:r>
      <w:r w:rsidR="00A626B2">
        <w:t xml:space="preserve"> </w:t>
      </w:r>
      <w:r>
        <w:t>attached.  These include:</w:t>
      </w:r>
    </w:p>
    <w:p w:rsidR="004851A7" w:rsidRDefault="00603C9E" w:rsidP="004851A7">
      <w:pPr>
        <w:pStyle w:val="ListParagraph"/>
        <w:numPr>
          <w:ilvl w:val="0"/>
          <w:numId w:val="40"/>
        </w:numPr>
      </w:pPr>
      <w:r>
        <w:t>A new, stand-alone “Purpose, Principles, and Procedures” document, and</w:t>
      </w:r>
    </w:p>
    <w:p w:rsidR="00603C9E" w:rsidRDefault="00603C9E" w:rsidP="004851A7">
      <w:pPr>
        <w:pStyle w:val="ListParagraph"/>
        <w:numPr>
          <w:ilvl w:val="0"/>
          <w:numId w:val="40"/>
        </w:numPr>
      </w:pPr>
      <w:r>
        <w:t xml:space="preserve">An updated “Request for Proposals” (RFP) for use in the next SOSA cycle. </w:t>
      </w:r>
    </w:p>
    <w:p w:rsidR="00603C9E" w:rsidRDefault="00603C9E"/>
    <w:p w:rsidR="008C0C8E" w:rsidRPr="008C0C8E" w:rsidRDefault="00CE69E4">
      <w:pPr>
        <w:rPr>
          <w:u w:val="single"/>
        </w:rPr>
      </w:pPr>
      <w:r w:rsidRPr="00CE69E4">
        <w:rPr>
          <w:u w:val="single"/>
        </w:rPr>
        <w:t>Drafting the Final Recommendations</w:t>
      </w:r>
    </w:p>
    <w:p w:rsidR="008C0C8E" w:rsidRDefault="008C0C8E"/>
    <w:p w:rsidR="006A62AF" w:rsidRDefault="006A62AF">
      <w:r>
        <w:t xml:space="preserve">The major </w:t>
      </w:r>
      <w:r w:rsidR="0094245B">
        <w:t xml:space="preserve">tasks that </w:t>
      </w:r>
      <w:r>
        <w:t xml:space="preserve">CFA </w:t>
      </w:r>
      <w:r w:rsidR="00C141CA">
        <w:t xml:space="preserve">identified based on the instructions in our charges, the evidence and testimony </w:t>
      </w:r>
      <w:r w:rsidR="00147CC8">
        <w:t xml:space="preserve">gathered </w:t>
      </w:r>
      <w:r w:rsidR="00C141CA">
        <w:t xml:space="preserve">through the above processes, and </w:t>
      </w:r>
      <w:r w:rsidR="0094245B">
        <w:t xml:space="preserve">the </w:t>
      </w:r>
      <w:r w:rsidR="008C0C8E">
        <w:t xml:space="preserve">extensive </w:t>
      </w:r>
      <w:r w:rsidR="00C141CA">
        <w:t xml:space="preserve">discussions that ensued are </w:t>
      </w:r>
      <w:r>
        <w:t>summarized as follows:</w:t>
      </w:r>
      <w:r w:rsidR="008C0C8E">
        <w:t xml:space="preserve">  </w:t>
      </w:r>
    </w:p>
    <w:p w:rsidR="006A62AF" w:rsidRDefault="006A62AF"/>
    <w:p w:rsidR="005F027C" w:rsidRDefault="005F027C" w:rsidP="00E9649F">
      <w:pPr>
        <w:pStyle w:val="ListParagraph"/>
        <w:numPr>
          <w:ilvl w:val="0"/>
          <w:numId w:val="4"/>
        </w:numPr>
      </w:pPr>
      <w:r>
        <w:t xml:space="preserve">Creating a Mission Statement and set of Enduring Principles to guide the </w:t>
      </w:r>
      <w:r w:rsidR="00C00F4A">
        <w:t xml:space="preserve">overall </w:t>
      </w:r>
      <w:r>
        <w:t>SOSA process</w:t>
      </w:r>
      <w:r w:rsidR="00C00F4A">
        <w:t>.</w:t>
      </w:r>
    </w:p>
    <w:p w:rsidR="00AA14A3" w:rsidRDefault="00760B01">
      <w:pPr>
        <w:pStyle w:val="ListParagraph"/>
        <w:numPr>
          <w:ilvl w:val="0"/>
          <w:numId w:val="4"/>
        </w:numPr>
      </w:pPr>
      <w:r>
        <w:t xml:space="preserve">Establishing </w:t>
      </w:r>
      <w:r w:rsidR="009478C0">
        <w:t xml:space="preserve">principles guiding the various factors by which proposals will be </w:t>
      </w:r>
      <w:r w:rsidR="00C00F4A">
        <w:t>evaluated, which</w:t>
      </w:r>
      <w:r w:rsidR="009478C0">
        <w:t xml:space="preserve"> </w:t>
      </w:r>
      <w:r w:rsidR="009E203D">
        <w:t>both</w:t>
      </w:r>
      <w:r>
        <w:t xml:space="preserve"> </w:t>
      </w:r>
      <w:r w:rsidR="00C141CA">
        <w:t>reflect the</w:t>
      </w:r>
      <w:r w:rsidR="009E203D">
        <w:t xml:space="preserve"> current demographics </w:t>
      </w:r>
      <w:r w:rsidR="00C141CA">
        <w:t xml:space="preserve">of </w:t>
      </w:r>
      <w:r w:rsidR="009E203D">
        <w:t>TCNJ</w:t>
      </w:r>
      <w:r w:rsidR="00FE61E0">
        <w:t>’</w:t>
      </w:r>
      <w:r w:rsidR="009E203D">
        <w:t>s faculty/librarians</w:t>
      </w:r>
      <w:r w:rsidR="00C00F4A">
        <w:t>,</w:t>
      </w:r>
      <w:r w:rsidR="009E203D">
        <w:t xml:space="preserve"> and </w:t>
      </w:r>
      <w:r w:rsidR="00C141CA">
        <w:t>that</w:t>
      </w:r>
      <w:r w:rsidR="009478C0">
        <w:t xml:space="preserve"> makes the process</w:t>
      </w:r>
      <w:r w:rsidR="0094245B">
        <w:t xml:space="preserve"> fair and transparent</w:t>
      </w:r>
      <w:r w:rsidR="00C141CA">
        <w:t>.</w:t>
      </w:r>
    </w:p>
    <w:p w:rsidR="00E9649F" w:rsidRDefault="00E9649F" w:rsidP="00E9649F">
      <w:pPr>
        <w:pStyle w:val="ListParagraph"/>
        <w:numPr>
          <w:ilvl w:val="0"/>
          <w:numId w:val="4"/>
        </w:numPr>
      </w:pPr>
      <w:r>
        <w:t>Establishing clearly articulated criteria for the evaluation process in the form of a rubric with a numerical scoring scale</w:t>
      </w:r>
      <w:r w:rsidR="00147CC8">
        <w:t xml:space="preserve"> in order to achieve greater fairness and transparency.</w:t>
      </w:r>
    </w:p>
    <w:p w:rsidR="00E9649F" w:rsidRDefault="00E9649F" w:rsidP="00E9649F">
      <w:pPr>
        <w:pStyle w:val="ListParagraph"/>
        <w:numPr>
          <w:ilvl w:val="0"/>
          <w:numId w:val="4"/>
        </w:numPr>
      </w:pPr>
      <w:r>
        <w:t>Examining the composition of the SOSA Committee in light of the current distribution of faculty members among schools.</w:t>
      </w:r>
    </w:p>
    <w:p w:rsidR="00E9649F" w:rsidRDefault="00C00F4A" w:rsidP="00E9649F">
      <w:pPr>
        <w:pStyle w:val="ListParagraph"/>
        <w:numPr>
          <w:ilvl w:val="0"/>
          <w:numId w:val="4"/>
        </w:numPr>
      </w:pPr>
      <w:r>
        <w:t xml:space="preserve">Establishing </w:t>
      </w:r>
      <w:r w:rsidR="00E9649F">
        <w:t xml:space="preserve">a process for </w:t>
      </w:r>
      <w:r>
        <w:t>evaluating proposals</w:t>
      </w:r>
      <w:r w:rsidR="00E9649F">
        <w:t xml:space="preserve"> from SOSA Committee members</w:t>
      </w:r>
      <w:r w:rsidR="00C141CA">
        <w:t xml:space="preserve"> to be used when this occurs.</w:t>
      </w:r>
    </w:p>
    <w:p w:rsidR="00E9649F" w:rsidRDefault="00147CC8" w:rsidP="00E9649F">
      <w:pPr>
        <w:pStyle w:val="ListParagraph"/>
        <w:numPr>
          <w:ilvl w:val="0"/>
          <w:numId w:val="4"/>
        </w:numPr>
      </w:pPr>
      <w:r>
        <w:t>Establishing a process that would</w:t>
      </w:r>
      <w:r w:rsidR="00E9649F">
        <w:t xml:space="preserve"> </w:t>
      </w:r>
      <w:r w:rsidR="00C141CA">
        <w:t xml:space="preserve">improve the efficiency of </w:t>
      </w:r>
      <w:r w:rsidR="00E9649F">
        <w:t>the SOSA Committee</w:t>
      </w:r>
      <w:r w:rsidR="00C00F4A">
        <w:t>’s work,</w:t>
      </w:r>
      <w:r w:rsidR="00E9649F">
        <w:t xml:space="preserve"> that would encourage more people to serve</w:t>
      </w:r>
      <w:r w:rsidR="00C00F4A">
        <w:t>,</w:t>
      </w:r>
      <w:r w:rsidR="00E9649F">
        <w:t xml:space="preserve"> provide </w:t>
      </w:r>
      <w:r w:rsidR="00E91A9D">
        <w:t xml:space="preserve">a </w:t>
      </w:r>
      <w:r w:rsidR="0040563F">
        <w:t xml:space="preserve">less cumbersome </w:t>
      </w:r>
      <w:r w:rsidR="00E91A9D">
        <w:t xml:space="preserve">commitment </w:t>
      </w:r>
      <w:r w:rsidR="00625452">
        <w:t xml:space="preserve">for </w:t>
      </w:r>
      <w:r w:rsidR="00E9649F">
        <w:t>those who do</w:t>
      </w:r>
      <w:r w:rsidR="00C00F4A">
        <w:t>, and utilize best-practice approaches in multi-disciplinary grant proposal reviews</w:t>
      </w:r>
      <w:r w:rsidR="005F027C">
        <w:t>.</w:t>
      </w:r>
    </w:p>
    <w:p w:rsidR="003C5022" w:rsidRDefault="00147CC8" w:rsidP="00E9649F">
      <w:pPr>
        <w:pStyle w:val="ListParagraph"/>
        <w:numPr>
          <w:ilvl w:val="0"/>
          <w:numId w:val="4"/>
        </w:numPr>
      </w:pPr>
      <w:r>
        <w:t>Ensuring</w:t>
      </w:r>
      <w:r w:rsidR="00C00F4A">
        <w:t xml:space="preserve"> </w:t>
      </w:r>
      <w:r w:rsidR="003C5022">
        <w:t xml:space="preserve">that </w:t>
      </w:r>
      <w:r w:rsidR="00625452">
        <w:t xml:space="preserve">any changes to the </w:t>
      </w:r>
      <w:r>
        <w:t xml:space="preserve">evaluation </w:t>
      </w:r>
      <w:r w:rsidR="00625452">
        <w:t xml:space="preserve">process </w:t>
      </w:r>
      <w:r>
        <w:t>will not disadvantage either</w:t>
      </w:r>
      <w:r w:rsidR="00625452">
        <w:t xml:space="preserve"> </w:t>
      </w:r>
      <w:r w:rsidR="00C00F4A">
        <w:t xml:space="preserve">faculty members </w:t>
      </w:r>
      <w:r w:rsidR="00AA69F8">
        <w:t xml:space="preserve">who are </w:t>
      </w:r>
      <w:r w:rsidR="002E1B66">
        <w:t>re-engaging in</w:t>
      </w:r>
      <w:r w:rsidR="00C00F4A">
        <w:t xml:space="preserve"> their scholarly/creative/professional activities after </w:t>
      </w:r>
      <w:r w:rsidR="00AA69F8">
        <w:t>a period of significant service, or</w:t>
      </w:r>
      <w:r w:rsidR="00C00F4A">
        <w:t xml:space="preserve"> </w:t>
      </w:r>
      <w:r w:rsidR="00AA69F8">
        <w:t xml:space="preserve">pre-tenure </w:t>
      </w:r>
      <w:r w:rsidR="003C5022">
        <w:t>faculty</w:t>
      </w:r>
      <w:r w:rsidR="00C00F4A">
        <w:t xml:space="preserve"> members</w:t>
      </w:r>
      <w:r w:rsidR="00AA69F8">
        <w:t>.</w:t>
      </w:r>
      <w:r w:rsidR="00C00F4A">
        <w:t xml:space="preserve"> </w:t>
      </w:r>
    </w:p>
    <w:p w:rsidR="009478C0" w:rsidRDefault="00BA64CD" w:rsidP="009478C0">
      <w:pPr>
        <w:pStyle w:val="ListParagraph"/>
        <w:numPr>
          <w:ilvl w:val="0"/>
          <w:numId w:val="4"/>
        </w:numPr>
      </w:pPr>
      <w:r>
        <w:t xml:space="preserve">Addressing concerns that </w:t>
      </w:r>
      <w:r w:rsidR="00AA69F8">
        <w:t xml:space="preserve">the </w:t>
      </w:r>
      <w:r>
        <w:t xml:space="preserve">SOSA </w:t>
      </w:r>
      <w:r w:rsidR="00AA69F8">
        <w:t xml:space="preserve">review process </w:t>
      </w:r>
      <w:r>
        <w:t>does not require enough accountability regarding past awards.</w:t>
      </w:r>
    </w:p>
    <w:p w:rsidR="009478C0" w:rsidRDefault="009478C0" w:rsidP="009478C0"/>
    <w:p w:rsidR="008C0C8E" w:rsidRDefault="008C0C8E" w:rsidP="009478C0">
      <w:r>
        <w:t xml:space="preserve">The CFA’s work on tasks noted above was extensive and significant. In fact, the CFA invested most of its work during the </w:t>
      </w:r>
      <w:r w:rsidR="005E5DB3">
        <w:t>2010-2011 academic year on SOSA</w:t>
      </w:r>
      <w:r>
        <w:t>.</w:t>
      </w:r>
    </w:p>
    <w:p w:rsidR="00147CC8" w:rsidRDefault="00147CC8" w:rsidP="009478C0"/>
    <w:p w:rsidR="008C0C8E" w:rsidRPr="008C0C8E" w:rsidRDefault="008C0C8E" w:rsidP="008C0C8E">
      <w:pPr>
        <w:rPr>
          <w:u w:val="single"/>
        </w:rPr>
      </w:pPr>
      <w:r>
        <w:rPr>
          <w:u w:val="single"/>
        </w:rPr>
        <w:t>Key Issues</w:t>
      </w:r>
    </w:p>
    <w:p w:rsidR="008C0C8E" w:rsidRDefault="008C0C8E" w:rsidP="008C0C8E"/>
    <w:p w:rsidR="008C0C8E" w:rsidRDefault="00A626B2" w:rsidP="00760B01">
      <w:pPr>
        <w:rPr>
          <w:b/>
          <w:u w:val="single"/>
        </w:rPr>
      </w:pPr>
      <w:r>
        <w:t>As noted above, t</w:t>
      </w:r>
      <w:r w:rsidR="008C0C8E">
        <w:t xml:space="preserve">he CFA’s work </w:t>
      </w:r>
      <w:r>
        <w:t xml:space="preserve">led to the development of the “Purpose, Principles, and Procedures” document and the updated “Request for Proposals.”  In the creation of these, five key issues were addressed </w:t>
      </w:r>
      <w:r w:rsidR="00522703">
        <w:t>in an integrative way</w:t>
      </w:r>
      <w:r>
        <w:t xml:space="preserve"> throughout the documents.  These key issues are summarized below.</w:t>
      </w:r>
    </w:p>
    <w:p w:rsidR="003C5022" w:rsidRPr="003C5022" w:rsidRDefault="003C5022" w:rsidP="00760B01">
      <w:pPr>
        <w:rPr>
          <w:u w:val="single"/>
        </w:rPr>
      </w:pPr>
    </w:p>
    <w:p w:rsidR="00945D18" w:rsidRDefault="004851A7" w:rsidP="00945D18">
      <w:pPr>
        <w:pStyle w:val="ListParagraph"/>
        <w:numPr>
          <w:ilvl w:val="0"/>
          <w:numId w:val="35"/>
        </w:numPr>
      </w:pPr>
      <w:r>
        <w:t>Fairness of t</w:t>
      </w:r>
      <w:r w:rsidR="00945D18">
        <w:t xml:space="preserve">he </w:t>
      </w:r>
      <w:r w:rsidR="001E62FE">
        <w:t xml:space="preserve">current </w:t>
      </w:r>
      <w:r w:rsidR="00522703">
        <w:t xml:space="preserve">SOSA </w:t>
      </w:r>
      <w:r w:rsidR="00945D18">
        <w:t>evaluation process</w:t>
      </w:r>
    </w:p>
    <w:p w:rsidR="00945D18" w:rsidRDefault="00945D18" w:rsidP="00945D18">
      <w:pPr>
        <w:ind w:left="720"/>
      </w:pPr>
    </w:p>
    <w:p w:rsidR="00945D18" w:rsidRDefault="00945D18" w:rsidP="00945D18">
      <w:pPr>
        <w:ind w:left="720"/>
      </w:pPr>
      <w:r>
        <w:t xml:space="preserve">In addition to other testimony, 63% of the </w:t>
      </w:r>
      <w:r w:rsidR="0040337F">
        <w:t xml:space="preserve">total </w:t>
      </w:r>
      <w:r>
        <w:t xml:space="preserve">respondents to the survey have concerns about the SOSA evaluation process.  </w:t>
      </w:r>
      <w:r w:rsidR="00522703">
        <w:t>Furthermore</w:t>
      </w:r>
      <w:r w:rsidR="0005269C">
        <w:t xml:space="preserve">, 81% of </w:t>
      </w:r>
      <w:r w:rsidR="0040337F">
        <w:t xml:space="preserve">the respondents who identified themselves as having served on the SOSA </w:t>
      </w:r>
      <w:r w:rsidR="00522703">
        <w:t>C</w:t>
      </w:r>
      <w:r w:rsidR="0040337F">
        <w:t>ommittee</w:t>
      </w:r>
      <w:r w:rsidR="0005269C">
        <w:t xml:space="preserve"> had concerns about the current </w:t>
      </w:r>
      <w:r w:rsidR="0005269C">
        <w:lastRenderedPageBreak/>
        <w:t xml:space="preserve">process. </w:t>
      </w:r>
      <w:r>
        <w:t>CFA has detailed specific procedures to direct the evaluation process in order to ensure fairness</w:t>
      </w:r>
      <w:r w:rsidR="004851A7">
        <w:t xml:space="preserve"> and improve efficiency</w:t>
      </w:r>
      <w:r>
        <w:t xml:space="preserve">. </w:t>
      </w:r>
      <w:r w:rsidR="00522703">
        <w:t xml:space="preserve"> </w:t>
      </w:r>
      <w:r>
        <w:t xml:space="preserve">These are contained in the </w:t>
      </w:r>
      <w:r w:rsidR="00522703">
        <w:t>“Purpose, Principles, and Procedures” document and the updated “Request for Proposals.”</w:t>
      </w:r>
      <w:r>
        <w:t xml:space="preserve"> </w:t>
      </w:r>
      <w:r w:rsidR="00522703">
        <w:t xml:space="preserve"> </w:t>
      </w:r>
      <w:r>
        <w:t>Several of the key points include the following:</w:t>
      </w:r>
    </w:p>
    <w:p w:rsidR="00945D18" w:rsidRDefault="00945D18" w:rsidP="00665FD2">
      <w:pPr>
        <w:pStyle w:val="ListParagraph"/>
        <w:numPr>
          <w:ilvl w:val="0"/>
          <w:numId w:val="37"/>
        </w:numPr>
        <w:ind w:left="1800"/>
      </w:pPr>
      <w:r>
        <w:t>Having a well-defined mission and guiding principles, which will guide the evaluation process</w:t>
      </w:r>
      <w:r w:rsidR="00665FD2">
        <w:t>.</w:t>
      </w:r>
    </w:p>
    <w:p w:rsidR="004646FF" w:rsidRPr="004646FF" w:rsidRDefault="00945D18" w:rsidP="00194244">
      <w:pPr>
        <w:pStyle w:val="ListParagraph"/>
        <w:numPr>
          <w:ilvl w:val="0"/>
          <w:numId w:val="37"/>
        </w:numPr>
        <w:tabs>
          <w:tab w:val="left" w:pos="720"/>
        </w:tabs>
        <w:spacing w:beforeLines="1" w:before="2" w:afterLines="1" w:after="2"/>
        <w:ind w:left="1800"/>
        <w:jc w:val="both"/>
        <w:rPr>
          <w:szCs w:val="20"/>
        </w:rPr>
      </w:pPr>
      <w:r>
        <w:rPr>
          <w:szCs w:val="20"/>
        </w:rPr>
        <w:t xml:space="preserve">Clearly articulating that </w:t>
      </w:r>
      <w:r w:rsidR="00522703">
        <w:rPr>
          <w:szCs w:val="20"/>
        </w:rPr>
        <w:t>SOSA C</w:t>
      </w:r>
      <w:r w:rsidR="004646FF" w:rsidRPr="004646FF">
        <w:rPr>
          <w:szCs w:val="20"/>
        </w:rPr>
        <w:t xml:space="preserve">ommittee members must not introduce any outside evidence or other information </w:t>
      </w:r>
      <w:r w:rsidR="00522703">
        <w:rPr>
          <w:szCs w:val="20"/>
        </w:rPr>
        <w:t xml:space="preserve">into the evaluation process and discussion </w:t>
      </w:r>
      <w:r w:rsidR="004646FF" w:rsidRPr="004646FF">
        <w:rPr>
          <w:szCs w:val="20"/>
        </w:rPr>
        <w:t xml:space="preserve">that is not </w:t>
      </w:r>
      <w:r w:rsidR="00522703">
        <w:rPr>
          <w:szCs w:val="20"/>
        </w:rPr>
        <w:t xml:space="preserve">already </w:t>
      </w:r>
      <w:r w:rsidR="004646FF" w:rsidRPr="004646FF">
        <w:rPr>
          <w:szCs w:val="20"/>
        </w:rPr>
        <w:t>inclu</w:t>
      </w:r>
      <w:r>
        <w:rPr>
          <w:szCs w:val="20"/>
        </w:rPr>
        <w:t xml:space="preserve">ded in the </w:t>
      </w:r>
      <w:r w:rsidR="00522703">
        <w:rPr>
          <w:szCs w:val="20"/>
        </w:rPr>
        <w:t xml:space="preserve">applicants’ </w:t>
      </w:r>
      <w:r>
        <w:rPr>
          <w:szCs w:val="20"/>
        </w:rPr>
        <w:t>submitted proposals</w:t>
      </w:r>
      <w:r w:rsidR="00522703">
        <w:rPr>
          <w:szCs w:val="20"/>
        </w:rPr>
        <w:t>.  Additionally, SOSA C</w:t>
      </w:r>
      <w:r w:rsidR="00522703" w:rsidRPr="004646FF">
        <w:rPr>
          <w:szCs w:val="20"/>
        </w:rPr>
        <w:t>ommittee members must</w:t>
      </w:r>
      <w:r w:rsidR="00522703">
        <w:rPr>
          <w:szCs w:val="20"/>
        </w:rPr>
        <w:t xml:space="preserve"> not</w:t>
      </w:r>
      <w:r>
        <w:rPr>
          <w:szCs w:val="20"/>
        </w:rPr>
        <w:t xml:space="preserve"> </w:t>
      </w:r>
      <w:r w:rsidR="004646FF" w:rsidRPr="004646FF">
        <w:rPr>
          <w:szCs w:val="20"/>
        </w:rPr>
        <w:t xml:space="preserve">advocate for any of the submitted proposals.  </w:t>
      </w:r>
    </w:p>
    <w:p w:rsidR="00945D18" w:rsidRPr="00945D18" w:rsidRDefault="00945D18" w:rsidP="00194244">
      <w:pPr>
        <w:pStyle w:val="ListParagraph"/>
        <w:numPr>
          <w:ilvl w:val="0"/>
          <w:numId w:val="37"/>
        </w:numPr>
        <w:tabs>
          <w:tab w:val="left" w:pos="720"/>
        </w:tabs>
        <w:spacing w:beforeLines="1" w:before="2" w:afterLines="1" w:after="2"/>
        <w:ind w:left="1800"/>
        <w:jc w:val="both"/>
        <w:rPr>
          <w:szCs w:val="20"/>
        </w:rPr>
      </w:pPr>
      <w:r>
        <w:rPr>
          <w:szCs w:val="20"/>
        </w:rPr>
        <w:t>Defining a process for reviewing</w:t>
      </w:r>
      <w:r w:rsidR="004646FF" w:rsidRPr="004646FF">
        <w:rPr>
          <w:szCs w:val="20"/>
        </w:rPr>
        <w:t xml:space="preserve"> proposals submi</w:t>
      </w:r>
      <w:r>
        <w:rPr>
          <w:szCs w:val="20"/>
        </w:rPr>
        <w:t>tted by SOSA Committee members</w:t>
      </w:r>
      <w:r w:rsidR="00665FD2">
        <w:rPr>
          <w:szCs w:val="20"/>
        </w:rPr>
        <w:t>.</w:t>
      </w:r>
    </w:p>
    <w:p w:rsidR="00945D18" w:rsidRDefault="00945D18" w:rsidP="00665FD2">
      <w:pPr>
        <w:pStyle w:val="ListParagraph"/>
        <w:numPr>
          <w:ilvl w:val="0"/>
          <w:numId w:val="37"/>
        </w:numPr>
        <w:ind w:left="1800"/>
      </w:pPr>
      <w:r>
        <w:t>Defining a review process and set of procedures that are in keeping with best practices of grant agencies</w:t>
      </w:r>
      <w:r w:rsidR="00522703">
        <w:t xml:space="preserve"> that</w:t>
      </w:r>
      <w:r w:rsidR="00A73ED0">
        <w:t xml:space="preserve"> handle</w:t>
      </w:r>
      <w:r w:rsidR="00C2368B">
        <w:t xml:space="preserve"> multi-disciplinary proposals.</w:t>
      </w:r>
    </w:p>
    <w:p w:rsidR="00945D18" w:rsidRDefault="00945D18" w:rsidP="00665FD2">
      <w:pPr>
        <w:pStyle w:val="ListParagraph"/>
        <w:numPr>
          <w:ilvl w:val="0"/>
          <w:numId w:val="37"/>
        </w:numPr>
        <w:ind w:left="1800"/>
      </w:pPr>
      <w:r>
        <w:t xml:space="preserve">Establishing an evaluation rubric with clearly articulated </w:t>
      </w:r>
      <w:r w:rsidR="00665FD2">
        <w:t>review criteria.</w:t>
      </w:r>
    </w:p>
    <w:p w:rsidR="004851A7" w:rsidRDefault="004851A7">
      <w:pPr>
        <w:ind w:left="1440"/>
      </w:pPr>
    </w:p>
    <w:p w:rsidR="00945D18" w:rsidRDefault="00945D18" w:rsidP="00945D18">
      <w:pPr>
        <w:ind w:left="720"/>
      </w:pPr>
      <w:r>
        <w:t>While it is impossible to remove all perceptions of unfairness in the process, the</w:t>
      </w:r>
      <w:r w:rsidR="00665FD2">
        <w:t xml:space="preserve"> language and</w:t>
      </w:r>
      <w:r>
        <w:t xml:space="preserve"> procedures </w:t>
      </w:r>
      <w:r w:rsidR="00665FD2">
        <w:t>proposed</w:t>
      </w:r>
      <w:r>
        <w:t xml:space="preserve"> are in keeping with best practices of </w:t>
      </w:r>
      <w:r w:rsidR="00A73ED0">
        <w:t xml:space="preserve">multi-disciplinary </w:t>
      </w:r>
      <w:r>
        <w:t>grant agencies</w:t>
      </w:r>
      <w:r w:rsidR="00A73ED0">
        <w:t>.</w:t>
      </w:r>
    </w:p>
    <w:p w:rsidR="00945D18" w:rsidRDefault="00945D18" w:rsidP="00945D18">
      <w:pPr>
        <w:ind w:left="720"/>
      </w:pPr>
    </w:p>
    <w:p w:rsidR="00945D18" w:rsidRDefault="00945D18" w:rsidP="00945D18">
      <w:pPr>
        <w:pStyle w:val="ListParagraph"/>
        <w:numPr>
          <w:ilvl w:val="0"/>
          <w:numId w:val="35"/>
        </w:numPr>
      </w:pPr>
      <w:r>
        <w:t>Transparency</w:t>
      </w:r>
      <w:r w:rsidR="00522703">
        <w:t xml:space="preserve"> of the SOSA evaluation process</w:t>
      </w:r>
    </w:p>
    <w:p w:rsidR="00945D18" w:rsidRDefault="00945D18" w:rsidP="00945D18">
      <w:pPr>
        <w:pStyle w:val="ListParagraph"/>
      </w:pPr>
    </w:p>
    <w:p w:rsidR="00945D18" w:rsidRDefault="00945D18" w:rsidP="00945D18">
      <w:pPr>
        <w:pStyle w:val="ListParagraph"/>
      </w:pPr>
      <w:r>
        <w:t>With the use of a</w:t>
      </w:r>
      <w:r w:rsidR="00522703">
        <w:t>n evaluation</w:t>
      </w:r>
      <w:r>
        <w:t xml:space="preserve"> rubric that contains clearly articulated criteria, applicants will be able to receive feedback on their proposals. After the SOSA results are announced, the Chair of SOSA </w:t>
      </w:r>
      <w:r w:rsidR="00AF0A10">
        <w:t xml:space="preserve">Committee </w:t>
      </w:r>
      <w:r>
        <w:t>can share the average scores in each category with applicants who request feedback.</w:t>
      </w:r>
    </w:p>
    <w:p w:rsidR="003F016F" w:rsidRDefault="003F016F" w:rsidP="003F016F">
      <w:pPr>
        <w:pStyle w:val="ListParagraph"/>
      </w:pPr>
    </w:p>
    <w:p w:rsidR="004646FF" w:rsidRDefault="003F016F" w:rsidP="004646FF">
      <w:pPr>
        <w:pStyle w:val="ListParagraph"/>
        <w:numPr>
          <w:ilvl w:val="0"/>
          <w:numId w:val="35"/>
        </w:numPr>
      </w:pPr>
      <w:r>
        <w:t>Weighting process in the</w:t>
      </w:r>
      <w:r w:rsidR="00894F18">
        <w:t xml:space="preserve"> evaluation of</w:t>
      </w:r>
      <w:r>
        <w:t xml:space="preserve"> SOSA </w:t>
      </w:r>
      <w:r w:rsidR="00894F18">
        <w:t>proposals</w:t>
      </w:r>
      <w:r>
        <w:t>.</w:t>
      </w:r>
    </w:p>
    <w:p w:rsidR="003F016F" w:rsidRDefault="003F016F" w:rsidP="003F016F">
      <w:pPr>
        <w:pStyle w:val="ListParagraph"/>
      </w:pPr>
    </w:p>
    <w:p w:rsidR="009809E2" w:rsidRDefault="00894F18" w:rsidP="009809E2">
      <w:pPr>
        <w:pStyle w:val="ListParagraph"/>
      </w:pPr>
      <w:r>
        <w:t xml:space="preserve">In addition to other testimony, 60% of the respondents to </w:t>
      </w:r>
      <w:r w:rsidR="00744E78">
        <w:t xml:space="preserve">the </w:t>
      </w:r>
      <w:r>
        <w:t xml:space="preserve">survey do not think that the </w:t>
      </w:r>
      <w:r w:rsidR="00744E78">
        <w:t xml:space="preserve">current weighting system for proposal evaluation is fair. </w:t>
      </w:r>
      <w:r>
        <w:t xml:space="preserve"> </w:t>
      </w:r>
      <w:r w:rsidR="00744E78">
        <w:t>In their open-ended responses to</w:t>
      </w:r>
      <w:r w:rsidR="00522703">
        <w:t xml:space="preserve"> </w:t>
      </w:r>
      <w:r w:rsidR="00744E78">
        <w:t xml:space="preserve">the question “How would you like to see (proposals) weighted?” the majority of  respondents wanted more weight applied to the merit of the proposal narrative.  </w:t>
      </w:r>
      <w:r w:rsidR="009B30BA">
        <w:t xml:space="preserve">Less than 1% </w:t>
      </w:r>
      <w:r w:rsidR="00744E78">
        <w:t xml:space="preserve">of respondents </w:t>
      </w:r>
      <w:r w:rsidR="009B30BA">
        <w:t xml:space="preserve">felt </w:t>
      </w:r>
      <w:r w:rsidR="00744E78">
        <w:t xml:space="preserve">that </w:t>
      </w:r>
      <w:r w:rsidR="009B30BA">
        <w:t xml:space="preserve">more weight should be given to the qualifications of the applicant. </w:t>
      </w:r>
      <w:r w:rsidR="00522703">
        <w:t xml:space="preserve"> </w:t>
      </w:r>
      <w:r w:rsidR="009B30BA">
        <w:t xml:space="preserve">Therefore, </w:t>
      </w:r>
      <w:r w:rsidR="003F016F">
        <w:t xml:space="preserve">CFA recommends that the SOSA evaluation </w:t>
      </w:r>
      <w:r w:rsidR="009B30BA">
        <w:t xml:space="preserve">place more weight on the strength of the proposal. </w:t>
      </w:r>
      <w:r w:rsidR="00522703">
        <w:t xml:space="preserve"> </w:t>
      </w:r>
      <w:r w:rsidR="009B30BA">
        <w:t>In our preliminary recommendation, we suggested 75%</w:t>
      </w:r>
      <w:r w:rsidR="00744E78">
        <w:t xml:space="preserve"> for the proposal narrative and</w:t>
      </w:r>
      <w:r w:rsidR="009B30BA">
        <w:t xml:space="preserve"> 25% on the qualifications of the applicant. </w:t>
      </w:r>
      <w:r w:rsidR="00744E78">
        <w:t xml:space="preserve"> </w:t>
      </w:r>
      <w:r w:rsidR="009B30BA">
        <w:t>In consideration of the</w:t>
      </w:r>
      <w:r w:rsidR="00744E78">
        <w:t xml:space="preserve"> testimony received and, in particular,</w:t>
      </w:r>
      <w:r w:rsidR="009B30BA">
        <w:t xml:space="preserve"> faculty</w:t>
      </w:r>
      <w:r w:rsidR="00744E78">
        <w:t xml:space="preserve"> members</w:t>
      </w:r>
      <w:r w:rsidR="009B30BA">
        <w:t xml:space="preserve"> who do not favor such a large shift, we now recommend</w:t>
      </w:r>
      <w:r w:rsidR="003F016F">
        <w:t xml:space="preserve"> 2/3 of the weight </w:t>
      </w:r>
      <w:r w:rsidR="00744E78">
        <w:t xml:space="preserve">(67%) </w:t>
      </w:r>
      <w:r w:rsidR="00522703">
        <w:t xml:space="preserve">be </w:t>
      </w:r>
      <w:r w:rsidR="009B30BA">
        <w:t xml:space="preserve">placed </w:t>
      </w:r>
      <w:r w:rsidR="003F016F">
        <w:t xml:space="preserve">on the </w:t>
      </w:r>
      <w:r w:rsidR="00522703">
        <w:t xml:space="preserve">intellectual merit </w:t>
      </w:r>
      <w:r w:rsidR="003F016F">
        <w:t xml:space="preserve">of the proposal, and 1/3 of the weight </w:t>
      </w:r>
      <w:r w:rsidR="00744E78">
        <w:t xml:space="preserve">(33%) </w:t>
      </w:r>
      <w:r w:rsidR="003F016F">
        <w:t>on the qualifications of the applicant.</w:t>
      </w:r>
    </w:p>
    <w:p w:rsidR="009809E2" w:rsidRDefault="009809E2" w:rsidP="009809E2">
      <w:pPr>
        <w:pStyle w:val="ListParagraph"/>
      </w:pPr>
    </w:p>
    <w:p w:rsidR="00C2368B" w:rsidRDefault="004B4720" w:rsidP="009809E2">
      <w:pPr>
        <w:pStyle w:val="ListParagraph"/>
        <w:numPr>
          <w:ilvl w:val="0"/>
          <w:numId w:val="35"/>
        </w:numPr>
      </w:pPr>
      <w:r>
        <w:t>S</w:t>
      </w:r>
      <w:r w:rsidR="002E1B66">
        <w:t>tructure and procedures</w:t>
      </w:r>
      <w:r>
        <w:t xml:space="preserve"> of the SOSA Committee</w:t>
      </w:r>
    </w:p>
    <w:p w:rsidR="00C2368B" w:rsidRDefault="00C2368B" w:rsidP="00C2368B">
      <w:pPr>
        <w:pStyle w:val="ListParagraph"/>
      </w:pPr>
    </w:p>
    <w:p w:rsidR="002E1B66" w:rsidRDefault="002E1B66" w:rsidP="002E1B66">
      <w:pPr>
        <w:ind w:left="720"/>
      </w:pPr>
      <w:r>
        <w:t xml:space="preserve">The CFA is recommending a revised </w:t>
      </w:r>
      <w:r w:rsidR="004B4720">
        <w:t xml:space="preserve">structure and set of procedures for the </w:t>
      </w:r>
      <w:r>
        <w:t xml:space="preserve">SOSA Committee, which both reflect and support </w:t>
      </w:r>
      <w:r w:rsidR="004B4720">
        <w:t>the shift in</w:t>
      </w:r>
      <w:r>
        <w:t xml:space="preserve"> the overall SOSA evaluation process to be more fair and transparent.  In particular, the revised SOSA Committee structure and procedures will:</w:t>
      </w:r>
    </w:p>
    <w:p w:rsidR="004646FF" w:rsidRDefault="00440575" w:rsidP="004646FF">
      <w:pPr>
        <w:pStyle w:val="ListParagraph"/>
        <w:numPr>
          <w:ilvl w:val="0"/>
          <w:numId w:val="38"/>
        </w:numPr>
      </w:pPr>
      <w:r>
        <w:lastRenderedPageBreak/>
        <w:t>B</w:t>
      </w:r>
      <w:r w:rsidR="002E1B66">
        <w:t>e more representative of the current distribution of faculty members among schools and the Library</w:t>
      </w:r>
      <w:r>
        <w:t>.</w:t>
      </w:r>
    </w:p>
    <w:p w:rsidR="004646FF" w:rsidRDefault="00440575" w:rsidP="004646FF">
      <w:pPr>
        <w:pStyle w:val="ListParagraph"/>
        <w:numPr>
          <w:ilvl w:val="0"/>
          <w:numId w:val="38"/>
        </w:numPr>
      </w:pPr>
      <w:r>
        <w:t>Establish</w:t>
      </w:r>
      <w:r w:rsidR="002E1B66">
        <w:t xml:space="preserve"> a process for evaluating proposals submitted by S</w:t>
      </w:r>
      <w:r>
        <w:t>OSA Committee members.</w:t>
      </w:r>
    </w:p>
    <w:p w:rsidR="00440575" w:rsidRDefault="00440575" w:rsidP="002E1B66">
      <w:pPr>
        <w:pStyle w:val="ListParagraph"/>
        <w:numPr>
          <w:ilvl w:val="0"/>
          <w:numId w:val="38"/>
        </w:numPr>
      </w:pPr>
      <w:r>
        <w:t>Establish</w:t>
      </w:r>
      <w:r w:rsidR="002E1B66">
        <w:t xml:space="preserve"> a process that will improve the efficien</w:t>
      </w:r>
      <w:r>
        <w:t>cy of the Committee’s work, thereby encouraging more people to serve, providing</w:t>
      </w:r>
      <w:r w:rsidR="002E1B66">
        <w:t xml:space="preserve"> a less cumbersome commitme</w:t>
      </w:r>
      <w:r>
        <w:t>nt for those who do.</w:t>
      </w:r>
    </w:p>
    <w:p w:rsidR="004646FF" w:rsidRDefault="00440575">
      <w:pPr>
        <w:pStyle w:val="ListParagraph"/>
        <w:numPr>
          <w:ilvl w:val="0"/>
          <w:numId w:val="38"/>
        </w:numPr>
      </w:pPr>
      <w:r>
        <w:t>Utilize</w:t>
      </w:r>
      <w:r w:rsidR="002E1B66">
        <w:t xml:space="preserve"> best-practice approaches in multi-disciplinary grant proposal reviews.</w:t>
      </w:r>
    </w:p>
    <w:p w:rsidR="004851A7" w:rsidRDefault="004851A7">
      <w:pPr>
        <w:ind w:left="1080"/>
      </w:pPr>
    </w:p>
    <w:p w:rsidR="006654A1" w:rsidRDefault="00731374">
      <w:pPr>
        <w:ind w:left="720"/>
      </w:pPr>
      <w:r>
        <w:t>The CFA’s preliminary recommendation included the recommendation that departmental/school representatives on the SOSA Committee not review proposals from their own area.  In response to feedback from</w:t>
      </w:r>
      <w:r w:rsidR="000931A3">
        <w:t xml:space="preserve"> the survey, this</w:t>
      </w:r>
      <w:r>
        <w:t xml:space="preserve"> </w:t>
      </w:r>
      <w:r w:rsidR="000931A3">
        <w:t xml:space="preserve">review </w:t>
      </w:r>
      <w:r>
        <w:t>restriction is not included in CFA’s final recommendation.</w:t>
      </w:r>
    </w:p>
    <w:p w:rsidR="00A626B2" w:rsidRDefault="00A626B2">
      <w:pPr>
        <w:ind w:left="720"/>
      </w:pPr>
    </w:p>
    <w:p w:rsidR="004851A7" w:rsidRDefault="0040337F">
      <w:pPr>
        <w:pStyle w:val="ListParagraph"/>
        <w:numPr>
          <w:ilvl w:val="0"/>
          <w:numId w:val="35"/>
        </w:numPr>
      </w:pPr>
      <w:r>
        <w:t>Accountability</w:t>
      </w:r>
      <w:r w:rsidR="002B7290">
        <w:t xml:space="preserve"> for past SOSA funding</w:t>
      </w:r>
    </w:p>
    <w:p w:rsidR="0040337F" w:rsidRDefault="0040337F" w:rsidP="0040337F">
      <w:pPr>
        <w:pStyle w:val="ListParagraph"/>
      </w:pPr>
    </w:p>
    <w:p w:rsidR="0040337F" w:rsidRDefault="0040337F" w:rsidP="0040337F">
      <w:pPr>
        <w:pStyle w:val="ListParagraph"/>
      </w:pPr>
      <w:r>
        <w:t xml:space="preserve">The </w:t>
      </w:r>
      <w:r w:rsidR="002B7290">
        <w:t xml:space="preserve">evaluation </w:t>
      </w:r>
      <w:r>
        <w:t>rubric now contains scoring for outcomes achieved in the last 2-4 years,</w:t>
      </w:r>
      <w:r w:rsidR="002B7290">
        <w:t xml:space="preserve"> with reviewers specifically charged to take into consideration </w:t>
      </w:r>
      <w:r>
        <w:t>any past SOSA awards.</w:t>
      </w:r>
    </w:p>
    <w:p w:rsidR="0040337F" w:rsidRDefault="0040337F" w:rsidP="0040337F">
      <w:pPr>
        <w:pStyle w:val="ListParagraph"/>
      </w:pPr>
    </w:p>
    <w:p w:rsidR="004851A7" w:rsidRDefault="00A626B2">
      <w:pPr>
        <w:rPr>
          <w:b/>
          <w:u w:val="single"/>
        </w:rPr>
      </w:pPr>
      <w:r>
        <w:rPr>
          <w:b/>
          <w:u w:val="single"/>
        </w:rPr>
        <w:t>Additional</w:t>
      </w:r>
      <w:r w:rsidR="0005269C">
        <w:rPr>
          <w:b/>
          <w:u w:val="single"/>
        </w:rPr>
        <w:t xml:space="preserve"> </w:t>
      </w:r>
      <w:r w:rsidR="00CE69E4" w:rsidRPr="00CE69E4">
        <w:rPr>
          <w:b/>
          <w:u w:val="single"/>
        </w:rPr>
        <w:t>Recommendation</w:t>
      </w:r>
    </w:p>
    <w:p w:rsidR="004851A7" w:rsidRDefault="004851A7"/>
    <w:p w:rsidR="004851A7" w:rsidRDefault="00A626B2">
      <w:r>
        <w:t>The CFA recommends an i</w:t>
      </w:r>
      <w:r w:rsidR="0005269C">
        <w:t xml:space="preserve">ncrease </w:t>
      </w:r>
      <w:r>
        <w:t xml:space="preserve">in </w:t>
      </w:r>
      <w:r w:rsidR="0005269C">
        <w:t>the number of SOSA awards</w:t>
      </w:r>
      <w:r>
        <w:t xml:space="preserve">, </w:t>
      </w:r>
      <w:r w:rsidR="0005269C">
        <w:t>or other support for alternate assignment for scholarship, creative, or professional work.</w:t>
      </w:r>
    </w:p>
    <w:p w:rsidR="0040337F" w:rsidRDefault="0040337F" w:rsidP="0005269C">
      <w:pPr>
        <w:pStyle w:val="ListParagraph"/>
      </w:pPr>
    </w:p>
    <w:p w:rsidR="0005269C" w:rsidRDefault="0005269C" w:rsidP="0005269C">
      <w:pPr>
        <w:pStyle w:val="ListParagraph"/>
      </w:pPr>
      <w:r>
        <w:t xml:space="preserve">The CFA continues to recommend an increase in the number of </w:t>
      </w:r>
      <w:r w:rsidR="00A626B2">
        <w:t xml:space="preserve">SOSA </w:t>
      </w:r>
      <w:r>
        <w:t xml:space="preserve">awards. </w:t>
      </w:r>
      <w:r w:rsidR="00A626B2">
        <w:t xml:space="preserve"> </w:t>
      </w:r>
      <w:r>
        <w:t xml:space="preserve">As noted in the CFA report on SOSA from May 20, 2008 and reiterated by every SOSA </w:t>
      </w:r>
      <w:r w:rsidR="00A626B2">
        <w:t>C</w:t>
      </w:r>
      <w:r>
        <w:t xml:space="preserve">ommittee since then, every year worthy proposals do not get funded, and the cut-off score between those who do and those who don’t receive funding is usually only a few hundredths of a point. </w:t>
      </w:r>
      <w:r w:rsidR="00A626B2">
        <w:t xml:space="preserve"> TCNJ’s</w:t>
      </w:r>
      <w:r>
        <w:t xml:space="preserve"> increasingly high profile of active scholars, creative artists, and professionals, indicate that in the future even more qualified proposals will be turned down. </w:t>
      </w:r>
      <w:r w:rsidR="00A626B2">
        <w:t xml:space="preserve"> </w:t>
      </w:r>
      <w:r>
        <w:t xml:space="preserve">It is time to find ways to make more SOSA awards available. </w:t>
      </w:r>
      <w:r w:rsidR="00A626B2">
        <w:t xml:space="preserve"> </w:t>
      </w:r>
      <w:r>
        <w:t>One way to do that would be to establish a Faculty Development process that would grant all newly hired pre-tenure faculty members with an automatic course re-assignment for at least their first year or perhaps their first two years. This would remove these faculty members from the SOSA applicant pool during their first year (or two) and thereby increase the number of SOSA awards available.</w:t>
      </w:r>
    </w:p>
    <w:p w:rsidR="0005269C" w:rsidRDefault="0005269C" w:rsidP="0005269C">
      <w:pPr>
        <w:pStyle w:val="ListParagraph"/>
      </w:pPr>
    </w:p>
    <w:p w:rsidR="004851A7" w:rsidRDefault="0005269C">
      <w:r>
        <w:br w:type="page"/>
      </w:r>
    </w:p>
    <w:p w:rsidR="00AA14A3" w:rsidRDefault="00942F77" w:rsidP="009809E2">
      <w:pPr>
        <w:rPr>
          <w:rFonts w:ascii="Garamond" w:hAnsi="Garamond"/>
          <w:b/>
          <w:smallCaps/>
          <w:sz w:val="48"/>
          <w:szCs w:val="48"/>
        </w:rPr>
      </w:pPr>
      <w:r>
        <w:rPr>
          <w:rFonts w:ascii="Garamond" w:hAnsi="Garamond"/>
          <w:b/>
          <w:smallCaps/>
          <w:sz w:val="48"/>
          <w:szCs w:val="48"/>
        </w:rPr>
        <w:lastRenderedPageBreak/>
        <w:t>Support of Scholarly Activities (SOSA)</w:t>
      </w:r>
    </w:p>
    <w:p w:rsidR="00942F77" w:rsidRPr="007F263A" w:rsidRDefault="00942F77" w:rsidP="00BC6C4A">
      <w:pPr>
        <w:tabs>
          <w:tab w:val="left" w:pos="360"/>
        </w:tabs>
        <w:jc w:val="center"/>
        <w:rPr>
          <w:rFonts w:ascii="Garamond" w:hAnsi="Garamond"/>
          <w:b/>
          <w:smallCaps/>
          <w:sz w:val="40"/>
          <w:szCs w:val="40"/>
        </w:rPr>
      </w:pPr>
      <w:r w:rsidRPr="007F263A">
        <w:rPr>
          <w:rFonts w:ascii="Garamond" w:hAnsi="Garamond"/>
          <w:b/>
          <w:smallCaps/>
          <w:sz w:val="40"/>
          <w:szCs w:val="40"/>
        </w:rPr>
        <w:t>Purpose, Principles, and Procedures</w:t>
      </w:r>
    </w:p>
    <w:p w:rsidR="00942F77" w:rsidRDefault="00942F77" w:rsidP="00942F77">
      <w:pPr>
        <w:tabs>
          <w:tab w:val="left" w:pos="360"/>
        </w:tabs>
        <w:jc w:val="both"/>
        <w:rPr>
          <w:rFonts w:ascii="Garamond" w:hAnsi="Garamond"/>
          <w:b/>
          <w:smallCaps/>
        </w:rPr>
      </w:pPr>
    </w:p>
    <w:p w:rsidR="009B1797" w:rsidRDefault="009B1797" w:rsidP="009B1797">
      <w:pPr>
        <w:tabs>
          <w:tab w:val="left" w:pos="360"/>
        </w:tabs>
        <w:jc w:val="both"/>
        <w:rPr>
          <w:rFonts w:ascii="Garamond" w:hAnsi="Garamond"/>
          <w:b/>
          <w:smallCaps/>
        </w:rPr>
      </w:pPr>
      <w:r>
        <w:rPr>
          <w:rFonts w:ascii="Garamond" w:hAnsi="Garamond"/>
          <w:b/>
          <w:smallCaps/>
        </w:rPr>
        <w:t>Program Mission and Enduring Principles</w:t>
      </w:r>
    </w:p>
    <w:p w:rsidR="009B1797" w:rsidRPr="002D3826" w:rsidRDefault="00194244" w:rsidP="009B179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19050</wp:posOffset>
                </wp:positionV>
                <wp:extent cx="6057900" cy="24130"/>
                <wp:effectExtent l="9525" t="9525" r="9525" b="1397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413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" strokecolor="#339"/>
            </w:pict>
          </mc:Fallback>
        </mc:AlternateContent>
      </w:r>
    </w:p>
    <w:p w:rsidR="00AA14A3" w:rsidRDefault="00942F77">
      <w:pPr>
        <w:pStyle w:val="HTMLPreformatted"/>
        <w:jc w:val="both"/>
        <w:rPr>
          <w:rFonts w:ascii="Garamond" w:hAnsi="Garamond"/>
          <w:sz w:val="22"/>
          <w:szCs w:val="22"/>
        </w:rPr>
      </w:pPr>
      <w:r w:rsidRPr="007E47B9">
        <w:rPr>
          <w:rFonts w:ascii="Garamond" w:hAnsi="Garamond"/>
          <w:sz w:val="22"/>
          <w:szCs w:val="22"/>
        </w:rPr>
        <w:t xml:space="preserve">The Support of Scholarly Activities (SOSA) </w:t>
      </w:r>
      <w:r w:rsidR="001B0AB6">
        <w:rPr>
          <w:rFonts w:ascii="Garamond" w:hAnsi="Garamond"/>
          <w:sz w:val="22"/>
          <w:szCs w:val="22"/>
        </w:rPr>
        <w:t xml:space="preserve">program </w:t>
      </w:r>
      <w:r w:rsidRPr="007E47B9">
        <w:rPr>
          <w:rFonts w:ascii="Garamond" w:hAnsi="Garamond"/>
          <w:sz w:val="22"/>
          <w:szCs w:val="22"/>
        </w:rPr>
        <w:t>is designed to support faculty and librarian scholarship, creative activity, and professional activit</w:t>
      </w:r>
      <w:r w:rsidR="001B0AB6">
        <w:rPr>
          <w:rFonts w:ascii="Garamond" w:hAnsi="Garamond"/>
          <w:sz w:val="22"/>
          <w:szCs w:val="22"/>
        </w:rPr>
        <w:t>y</w:t>
      </w:r>
      <w:r w:rsidRPr="007E47B9">
        <w:rPr>
          <w:rFonts w:ascii="Garamond" w:hAnsi="Garamond"/>
          <w:sz w:val="22"/>
          <w:szCs w:val="22"/>
        </w:rPr>
        <w:t xml:space="preserve"> with exceptional merit and/or promise.  The SOSA program reflects the </w:t>
      </w:r>
      <w:r w:rsidR="001B0AB6">
        <w:rPr>
          <w:rFonts w:ascii="Garamond" w:hAnsi="Garamond"/>
          <w:sz w:val="22"/>
          <w:szCs w:val="22"/>
        </w:rPr>
        <w:t>C</w:t>
      </w:r>
      <w:r w:rsidRPr="007E47B9">
        <w:rPr>
          <w:rFonts w:ascii="Garamond" w:hAnsi="Garamond"/>
          <w:sz w:val="22"/>
          <w:szCs w:val="22"/>
        </w:rPr>
        <w:t>ollege</w:t>
      </w:r>
      <w:r w:rsidR="00FE61E0">
        <w:rPr>
          <w:rFonts w:ascii="Garamond" w:hAnsi="Garamond"/>
          <w:sz w:val="22"/>
          <w:szCs w:val="22"/>
        </w:rPr>
        <w:t>’</w:t>
      </w:r>
      <w:r w:rsidRPr="007E47B9">
        <w:rPr>
          <w:rFonts w:ascii="Garamond" w:hAnsi="Garamond"/>
          <w:sz w:val="22"/>
          <w:szCs w:val="22"/>
        </w:rPr>
        <w:t>s commitment to making TCNJ a strong community of teacher-</w:t>
      </w:r>
      <w:r w:rsidR="00CC76AC">
        <w:rPr>
          <w:rFonts w:ascii="Garamond" w:hAnsi="Garamond"/>
          <w:sz w:val="22"/>
          <w:szCs w:val="22"/>
        </w:rPr>
        <w:t>scholars</w:t>
      </w:r>
      <w:r w:rsidRPr="007E47B9">
        <w:rPr>
          <w:rFonts w:ascii="Garamond" w:hAnsi="Garamond"/>
          <w:sz w:val="22"/>
          <w:szCs w:val="22"/>
        </w:rPr>
        <w:t xml:space="preserve"> and librarian-scholars. The program provides faculty members and librarians an alternate assignment within workload in order to have more time to engage in their scholarly, creative, or professional activities.</w:t>
      </w:r>
      <w:r w:rsidR="00CC76AC">
        <w:rPr>
          <w:rFonts w:ascii="Garamond" w:hAnsi="Garamond"/>
          <w:sz w:val="22"/>
          <w:szCs w:val="22"/>
        </w:rPr>
        <w:t xml:space="preserve"> </w:t>
      </w:r>
      <w:r w:rsidRPr="007E47B9">
        <w:rPr>
          <w:rFonts w:ascii="Garamond" w:hAnsi="Garamond"/>
          <w:sz w:val="22"/>
          <w:szCs w:val="22"/>
        </w:rPr>
        <w:t xml:space="preserve"> SOSA awards may also be used for faculty </w:t>
      </w:r>
      <w:r w:rsidR="001B0AB6">
        <w:rPr>
          <w:rFonts w:ascii="Garamond" w:hAnsi="Garamond"/>
          <w:sz w:val="22"/>
          <w:szCs w:val="22"/>
        </w:rPr>
        <w:t xml:space="preserve">and librarian </w:t>
      </w:r>
      <w:r w:rsidRPr="007E47B9">
        <w:rPr>
          <w:rFonts w:ascii="Garamond" w:hAnsi="Garamond"/>
          <w:sz w:val="22"/>
          <w:szCs w:val="22"/>
        </w:rPr>
        <w:t>scholarly</w:t>
      </w:r>
      <w:r w:rsidR="001B0AB6">
        <w:rPr>
          <w:rFonts w:ascii="Garamond" w:hAnsi="Garamond"/>
          <w:sz w:val="22"/>
          <w:szCs w:val="22"/>
        </w:rPr>
        <w:t>, creative, or professional work</w:t>
      </w:r>
      <w:r w:rsidR="00CC76AC">
        <w:rPr>
          <w:rFonts w:ascii="Garamond" w:hAnsi="Garamond"/>
          <w:sz w:val="22"/>
          <w:szCs w:val="22"/>
        </w:rPr>
        <w:t>, which</w:t>
      </w:r>
      <w:r w:rsidRPr="007E47B9">
        <w:rPr>
          <w:rFonts w:ascii="Garamond" w:hAnsi="Garamond"/>
          <w:sz w:val="22"/>
          <w:szCs w:val="22"/>
        </w:rPr>
        <w:t xml:space="preserve"> engage</w:t>
      </w:r>
      <w:r w:rsidR="001B0AB6">
        <w:rPr>
          <w:rFonts w:ascii="Garamond" w:hAnsi="Garamond"/>
          <w:sz w:val="22"/>
          <w:szCs w:val="22"/>
        </w:rPr>
        <w:t>s</w:t>
      </w:r>
      <w:r w:rsidRPr="007E47B9">
        <w:rPr>
          <w:rFonts w:ascii="Garamond" w:hAnsi="Garamond"/>
          <w:sz w:val="22"/>
          <w:szCs w:val="22"/>
        </w:rPr>
        <w:t xml:space="preserve"> students as collaborators or apprentices. </w:t>
      </w:r>
      <w:r w:rsidR="001B0AB6">
        <w:rPr>
          <w:rFonts w:ascii="Garamond" w:hAnsi="Garamond"/>
          <w:sz w:val="22"/>
          <w:szCs w:val="22"/>
        </w:rPr>
        <w:t xml:space="preserve"> The </w:t>
      </w:r>
      <w:r w:rsidRPr="007E47B9">
        <w:rPr>
          <w:rFonts w:ascii="Garamond" w:hAnsi="Garamond"/>
          <w:sz w:val="22"/>
          <w:szCs w:val="22"/>
        </w:rPr>
        <w:t>SOSA</w:t>
      </w:r>
      <w:r w:rsidR="001B0AB6">
        <w:rPr>
          <w:rFonts w:ascii="Garamond" w:hAnsi="Garamond"/>
          <w:sz w:val="22"/>
          <w:szCs w:val="22"/>
        </w:rPr>
        <w:t xml:space="preserve"> program</w:t>
      </w:r>
      <w:r w:rsidRPr="007E47B9">
        <w:rPr>
          <w:rFonts w:ascii="Garamond" w:hAnsi="Garamond"/>
          <w:sz w:val="22"/>
          <w:szCs w:val="22"/>
        </w:rPr>
        <w:t xml:space="preserve"> </w:t>
      </w:r>
      <w:r w:rsidR="001B0AB6">
        <w:rPr>
          <w:rFonts w:ascii="Garamond" w:hAnsi="Garamond"/>
          <w:sz w:val="22"/>
          <w:szCs w:val="22"/>
        </w:rPr>
        <w:t xml:space="preserve">is designed to support </w:t>
      </w:r>
      <w:r w:rsidR="00CC76AC">
        <w:rPr>
          <w:rFonts w:ascii="Garamond" w:hAnsi="Garamond"/>
          <w:sz w:val="22"/>
          <w:szCs w:val="22"/>
        </w:rPr>
        <w:t>two</w:t>
      </w:r>
      <w:r w:rsidR="003871A0">
        <w:rPr>
          <w:rFonts w:ascii="Garamond" w:hAnsi="Garamond"/>
          <w:sz w:val="22"/>
          <w:szCs w:val="22"/>
        </w:rPr>
        <w:t xml:space="preserve"> equally important groups, both a</w:t>
      </w:r>
      <w:r w:rsidR="001B0AB6">
        <w:rPr>
          <w:rFonts w:ascii="Garamond" w:hAnsi="Garamond"/>
          <w:sz w:val="22"/>
          <w:szCs w:val="22"/>
        </w:rPr>
        <w:t xml:space="preserve">) </w:t>
      </w:r>
      <w:r w:rsidRPr="007E47B9">
        <w:rPr>
          <w:rFonts w:ascii="Garamond" w:hAnsi="Garamond"/>
          <w:sz w:val="22"/>
          <w:szCs w:val="22"/>
        </w:rPr>
        <w:t xml:space="preserve">new faculty members and librarians </w:t>
      </w:r>
      <w:r w:rsidR="001B0AB6">
        <w:rPr>
          <w:rFonts w:ascii="Garamond" w:hAnsi="Garamond"/>
          <w:sz w:val="22"/>
          <w:szCs w:val="22"/>
        </w:rPr>
        <w:t xml:space="preserve">in </w:t>
      </w:r>
      <w:r w:rsidRPr="007E47B9">
        <w:rPr>
          <w:rFonts w:ascii="Garamond" w:hAnsi="Garamond"/>
          <w:sz w:val="22"/>
          <w:szCs w:val="22"/>
        </w:rPr>
        <w:t>establish</w:t>
      </w:r>
      <w:r w:rsidR="001B0AB6">
        <w:rPr>
          <w:rFonts w:ascii="Garamond" w:hAnsi="Garamond"/>
          <w:sz w:val="22"/>
          <w:szCs w:val="22"/>
        </w:rPr>
        <w:t>ing</w:t>
      </w:r>
      <w:r w:rsidRPr="007E47B9">
        <w:rPr>
          <w:rFonts w:ascii="Garamond" w:hAnsi="Garamond"/>
          <w:sz w:val="22"/>
          <w:szCs w:val="22"/>
        </w:rPr>
        <w:t xml:space="preserve"> their agenda for </w:t>
      </w:r>
      <w:r w:rsidR="001B0AB6">
        <w:rPr>
          <w:rFonts w:ascii="Garamond" w:hAnsi="Garamond"/>
          <w:sz w:val="22"/>
          <w:szCs w:val="22"/>
        </w:rPr>
        <w:t>scholarship</w:t>
      </w:r>
      <w:r w:rsidRPr="007E47B9">
        <w:rPr>
          <w:rFonts w:ascii="Garamond" w:hAnsi="Garamond"/>
          <w:sz w:val="22"/>
          <w:szCs w:val="22"/>
        </w:rPr>
        <w:t>, creative, or professional activity</w:t>
      </w:r>
      <w:r w:rsidR="003871A0">
        <w:rPr>
          <w:rFonts w:ascii="Garamond" w:hAnsi="Garamond"/>
          <w:sz w:val="22"/>
          <w:szCs w:val="22"/>
        </w:rPr>
        <w:t>, and b</w:t>
      </w:r>
      <w:r w:rsidR="001B0AB6">
        <w:rPr>
          <w:rFonts w:ascii="Garamond" w:hAnsi="Garamond"/>
          <w:sz w:val="22"/>
          <w:szCs w:val="22"/>
        </w:rPr>
        <w:t xml:space="preserve">) </w:t>
      </w:r>
      <w:r w:rsidRPr="007E47B9">
        <w:rPr>
          <w:rFonts w:ascii="Garamond" w:hAnsi="Garamond"/>
          <w:sz w:val="22"/>
          <w:szCs w:val="22"/>
        </w:rPr>
        <w:t xml:space="preserve">continuing faculty members and librarians </w:t>
      </w:r>
      <w:r w:rsidR="001B0AB6">
        <w:rPr>
          <w:rFonts w:ascii="Garamond" w:hAnsi="Garamond"/>
          <w:sz w:val="22"/>
          <w:szCs w:val="22"/>
        </w:rPr>
        <w:t xml:space="preserve">in </w:t>
      </w:r>
      <w:r w:rsidRPr="007E47B9">
        <w:rPr>
          <w:rFonts w:ascii="Garamond" w:hAnsi="Garamond"/>
          <w:sz w:val="22"/>
          <w:szCs w:val="22"/>
        </w:rPr>
        <w:t>engag</w:t>
      </w:r>
      <w:r w:rsidR="001B0AB6">
        <w:rPr>
          <w:rFonts w:ascii="Garamond" w:hAnsi="Garamond"/>
          <w:sz w:val="22"/>
          <w:szCs w:val="22"/>
        </w:rPr>
        <w:t>ing</w:t>
      </w:r>
      <w:r w:rsidRPr="007E47B9">
        <w:rPr>
          <w:rFonts w:ascii="Garamond" w:hAnsi="Garamond"/>
          <w:sz w:val="22"/>
          <w:szCs w:val="22"/>
        </w:rPr>
        <w:t xml:space="preserve"> in scholarship, creative, or professional activity. </w:t>
      </w:r>
    </w:p>
    <w:p w:rsidR="00AA14A3" w:rsidRDefault="00AA14A3">
      <w:pPr>
        <w:jc w:val="both"/>
        <w:rPr>
          <w:rFonts w:ascii="Garamond" w:hAnsi="Garamond"/>
          <w:sz w:val="22"/>
        </w:rPr>
      </w:pPr>
    </w:p>
    <w:p w:rsidR="00AA14A3" w:rsidRDefault="00942F77">
      <w:pPr>
        <w:pStyle w:val="HTMLPreformatted"/>
        <w:jc w:val="both"/>
        <w:rPr>
          <w:rFonts w:ascii="Garamond" w:hAnsi="Garamond"/>
          <w:sz w:val="22"/>
          <w:szCs w:val="22"/>
        </w:rPr>
      </w:pPr>
      <w:r w:rsidRPr="007E47B9">
        <w:rPr>
          <w:rFonts w:ascii="Garamond" w:hAnsi="Garamond"/>
          <w:sz w:val="22"/>
          <w:szCs w:val="22"/>
        </w:rPr>
        <w:t>The SOSA program is a competitive yet inclusive grant program as it provides faculty members and librarians with re</w:t>
      </w:r>
      <w:r w:rsidR="002E0F1E">
        <w:rPr>
          <w:rFonts w:ascii="Garamond" w:hAnsi="Garamond"/>
          <w:sz w:val="22"/>
          <w:szCs w:val="22"/>
        </w:rPr>
        <w:t>-</w:t>
      </w:r>
      <w:r w:rsidRPr="007E47B9">
        <w:rPr>
          <w:rFonts w:ascii="Garamond" w:hAnsi="Garamond"/>
          <w:sz w:val="22"/>
          <w:szCs w:val="22"/>
        </w:rPr>
        <w:t xml:space="preserve">assigned time to expand their program of scholarly, creative, or professional activity beyond the level that is </w:t>
      </w:r>
      <w:r w:rsidR="002E0F1E">
        <w:rPr>
          <w:rFonts w:ascii="Garamond" w:hAnsi="Garamond"/>
          <w:sz w:val="22"/>
          <w:szCs w:val="22"/>
        </w:rPr>
        <w:t xml:space="preserve">already </w:t>
      </w:r>
      <w:r w:rsidRPr="007E47B9">
        <w:rPr>
          <w:rFonts w:ascii="Garamond" w:hAnsi="Garamond"/>
          <w:sz w:val="22"/>
          <w:szCs w:val="22"/>
        </w:rPr>
        <w:t xml:space="preserve">expected </w:t>
      </w:r>
      <w:r w:rsidR="002E0F1E">
        <w:rPr>
          <w:rFonts w:ascii="Garamond" w:hAnsi="Garamond"/>
          <w:sz w:val="22"/>
          <w:szCs w:val="22"/>
        </w:rPr>
        <w:t xml:space="preserve">and included </w:t>
      </w:r>
      <w:r w:rsidRPr="007E47B9">
        <w:rPr>
          <w:rFonts w:ascii="Garamond" w:hAnsi="Garamond"/>
          <w:sz w:val="22"/>
          <w:szCs w:val="22"/>
        </w:rPr>
        <w:t xml:space="preserve">within workload. </w:t>
      </w:r>
      <w:r w:rsidR="002E0F1E">
        <w:rPr>
          <w:rFonts w:ascii="Garamond" w:hAnsi="Garamond"/>
          <w:sz w:val="22"/>
          <w:szCs w:val="22"/>
        </w:rPr>
        <w:t xml:space="preserve"> </w:t>
      </w:r>
      <w:r w:rsidRPr="007E47B9">
        <w:rPr>
          <w:rFonts w:ascii="Garamond" w:hAnsi="Garamond"/>
          <w:sz w:val="22"/>
          <w:szCs w:val="22"/>
        </w:rPr>
        <w:t>Successful proposals must be high quality and innovative and supported by the candidate</w:t>
      </w:r>
      <w:r w:rsidR="00FE61E0">
        <w:rPr>
          <w:rFonts w:ascii="Garamond" w:hAnsi="Garamond"/>
          <w:sz w:val="22"/>
          <w:szCs w:val="22"/>
        </w:rPr>
        <w:t>’</w:t>
      </w:r>
      <w:r w:rsidRPr="007E47B9">
        <w:rPr>
          <w:rFonts w:ascii="Garamond" w:hAnsi="Garamond"/>
          <w:sz w:val="22"/>
          <w:szCs w:val="22"/>
        </w:rPr>
        <w:t xml:space="preserve">s area of expertise, track record, and academic goals. </w:t>
      </w:r>
      <w:r w:rsidR="008E35A5">
        <w:rPr>
          <w:rFonts w:ascii="Garamond" w:hAnsi="Garamond"/>
          <w:sz w:val="22"/>
          <w:szCs w:val="22"/>
        </w:rPr>
        <w:t xml:space="preserve"> </w:t>
      </w:r>
      <w:r w:rsidRPr="007E47B9">
        <w:rPr>
          <w:rFonts w:ascii="Garamond" w:hAnsi="Garamond"/>
          <w:sz w:val="22"/>
          <w:szCs w:val="22"/>
        </w:rPr>
        <w:t>Given that SOSA alternate assignment is possible onl</w:t>
      </w:r>
      <w:r w:rsidR="00CC76AC">
        <w:rPr>
          <w:rFonts w:ascii="Garamond" w:hAnsi="Garamond"/>
          <w:sz w:val="22"/>
          <w:szCs w:val="22"/>
        </w:rPr>
        <w:t xml:space="preserve">y with budgetary resources, </w:t>
      </w:r>
      <w:r w:rsidRPr="007E47B9">
        <w:rPr>
          <w:rFonts w:ascii="Garamond" w:hAnsi="Garamond"/>
          <w:sz w:val="22"/>
          <w:szCs w:val="22"/>
        </w:rPr>
        <w:t>SOSA grants are awarded</w:t>
      </w:r>
      <w:r w:rsidR="00AA14A3">
        <w:rPr>
          <w:rFonts w:ascii="Garamond" w:hAnsi="Garamond"/>
          <w:sz w:val="22"/>
          <w:szCs w:val="22"/>
        </w:rPr>
        <w:t xml:space="preserve"> </w:t>
      </w:r>
      <w:r w:rsidRPr="007E47B9">
        <w:rPr>
          <w:rFonts w:ascii="Garamond" w:hAnsi="Garamond"/>
          <w:sz w:val="22"/>
          <w:szCs w:val="22"/>
        </w:rPr>
        <w:t>in accordance with the following enduring principles:</w:t>
      </w:r>
    </w:p>
    <w:p w:rsidR="00E44A48" w:rsidRDefault="00E44A48" w:rsidP="00E44A48">
      <w:pPr>
        <w:jc w:val="both"/>
        <w:rPr>
          <w:rFonts w:ascii="Garamond" w:hAnsi="Garamond"/>
          <w:sz w:val="22"/>
        </w:rPr>
      </w:pPr>
    </w:p>
    <w:p w:rsidR="00E44A48" w:rsidRDefault="00E44A48" w:rsidP="00E44A48">
      <w:pPr>
        <w:pStyle w:val="ColorfulList-Accent11"/>
        <w:numPr>
          <w:ilvl w:val="0"/>
          <w:numId w:val="16"/>
        </w:numPr>
        <w:contextualSpacing/>
        <w:jc w:val="both"/>
        <w:rPr>
          <w:rFonts w:ascii="Garamond" w:hAnsi="Garamond"/>
          <w:sz w:val="22"/>
          <w:szCs w:val="22"/>
        </w:rPr>
      </w:pPr>
      <w:r>
        <w:rPr>
          <w:rFonts w:ascii="Garamond" w:hAnsi="Garamond"/>
          <w:sz w:val="22"/>
          <w:szCs w:val="22"/>
        </w:rPr>
        <w:t xml:space="preserve">The </w:t>
      </w:r>
      <w:r w:rsidRPr="007E47B9">
        <w:rPr>
          <w:rFonts w:ascii="Garamond" w:hAnsi="Garamond"/>
          <w:sz w:val="22"/>
          <w:szCs w:val="22"/>
        </w:rPr>
        <w:t xml:space="preserve">SOSA </w:t>
      </w:r>
      <w:r>
        <w:rPr>
          <w:rFonts w:ascii="Garamond" w:hAnsi="Garamond"/>
          <w:sz w:val="22"/>
          <w:szCs w:val="22"/>
        </w:rPr>
        <w:t>program is a competitive process that supports prospective scholarly, creative, or professional</w:t>
      </w:r>
      <w:r w:rsidRPr="007E47B9">
        <w:rPr>
          <w:rFonts w:ascii="Garamond" w:hAnsi="Garamond"/>
          <w:sz w:val="22"/>
          <w:szCs w:val="22"/>
        </w:rPr>
        <w:t xml:space="preserve"> </w:t>
      </w:r>
      <w:r>
        <w:rPr>
          <w:rFonts w:ascii="Garamond" w:hAnsi="Garamond"/>
          <w:sz w:val="22"/>
          <w:szCs w:val="22"/>
        </w:rPr>
        <w:t>work.  The review process is conducted in a fair, transparent, and efficient manner.</w:t>
      </w:r>
    </w:p>
    <w:p w:rsidR="00E44A48" w:rsidRDefault="00E44A48" w:rsidP="00E44A48">
      <w:pPr>
        <w:pStyle w:val="ColorfulList-Accent11"/>
        <w:ind w:left="360"/>
        <w:contextualSpacing/>
        <w:jc w:val="both"/>
        <w:rPr>
          <w:rFonts w:ascii="Garamond" w:hAnsi="Garamond"/>
          <w:sz w:val="22"/>
          <w:szCs w:val="22"/>
        </w:rPr>
      </w:pPr>
    </w:p>
    <w:p w:rsidR="00E44A48" w:rsidRDefault="00E44A48" w:rsidP="00E44A48">
      <w:pPr>
        <w:pStyle w:val="ColorfulList-Accent11"/>
        <w:numPr>
          <w:ilvl w:val="0"/>
          <w:numId w:val="16"/>
        </w:numPr>
        <w:contextualSpacing/>
        <w:jc w:val="both"/>
        <w:rPr>
          <w:rFonts w:ascii="Garamond" w:hAnsi="Garamond"/>
          <w:sz w:val="22"/>
          <w:szCs w:val="22"/>
        </w:rPr>
      </w:pPr>
      <w:r w:rsidRPr="00CF00EC">
        <w:rPr>
          <w:rFonts w:ascii="Garamond" w:hAnsi="Garamond"/>
          <w:sz w:val="22"/>
          <w:szCs w:val="22"/>
        </w:rPr>
        <w:t xml:space="preserve">The intellectual merit of the proposed scholarly, creative, and/or professional program/project for SOSA alternate assignment is given the greatest weight in the evaluation of any SOSA proposal.  </w:t>
      </w:r>
    </w:p>
    <w:p w:rsidR="00E44A48" w:rsidRPr="00CF00EC" w:rsidRDefault="00E44A48" w:rsidP="00E44A48">
      <w:pPr>
        <w:pStyle w:val="ColorfulList-Accent11"/>
        <w:ind w:left="360"/>
        <w:contextualSpacing/>
        <w:jc w:val="both"/>
        <w:rPr>
          <w:rFonts w:ascii="Garamond" w:hAnsi="Garamond"/>
          <w:sz w:val="22"/>
          <w:szCs w:val="22"/>
        </w:rPr>
      </w:pPr>
    </w:p>
    <w:p w:rsidR="00E44A48" w:rsidRDefault="00E44A48" w:rsidP="00E44A48">
      <w:pPr>
        <w:pStyle w:val="ColorfulList-Accent11"/>
        <w:numPr>
          <w:ilvl w:val="0"/>
          <w:numId w:val="16"/>
        </w:numPr>
        <w:contextualSpacing/>
        <w:jc w:val="both"/>
        <w:rPr>
          <w:rFonts w:ascii="Garamond" w:hAnsi="Garamond"/>
          <w:sz w:val="22"/>
          <w:szCs w:val="22"/>
        </w:rPr>
      </w:pPr>
      <w:r w:rsidRPr="00CF00EC">
        <w:rPr>
          <w:rFonts w:ascii="Garamond" w:hAnsi="Garamond"/>
          <w:sz w:val="22"/>
          <w:szCs w:val="22"/>
        </w:rPr>
        <w:t>The scholarly, creative, and/or professional qualifications</w:t>
      </w:r>
      <w:r>
        <w:rPr>
          <w:rFonts w:ascii="Garamond" w:hAnsi="Garamond"/>
          <w:sz w:val="22"/>
          <w:szCs w:val="22"/>
        </w:rPr>
        <w:t xml:space="preserve"> </w:t>
      </w:r>
      <w:r w:rsidRPr="00CF00EC">
        <w:rPr>
          <w:rFonts w:ascii="Garamond" w:hAnsi="Garamond"/>
          <w:sz w:val="22"/>
          <w:szCs w:val="22"/>
        </w:rPr>
        <w:t>of the applicant are also given consideration in the review process.  The applicant’s area of expertise, track record, and academic goals should support the proposed SOSA work and enhance the scholarly culture at the College.</w:t>
      </w:r>
    </w:p>
    <w:p w:rsidR="00E44A48" w:rsidRDefault="00E44A48" w:rsidP="00E44A48">
      <w:pPr>
        <w:pStyle w:val="ColorfulList-Accent11"/>
        <w:ind w:left="360"/>
        <w:contextualSpacing/>
        <w:jc w:val="both"/>
        <w:rPr>
          <w:rFonts w:ascii="Garamond" w:hAnsi="Garamond"/>
          <w:sz w:val="22"/>
          <w:szCs w:val="22"/>
        </w:rPr>
      </w:pPr>
    </w:p>
    <w:p w:rsidR="00E44A48" w:rsidRDefault="00E44A48" w:rsidP="00E44A48">
      <w:pPr>
        <w:pStyle w:val="ColorfulList-Accent11"/>
        <w:numPr>
          <w:ilvl w:val="0"/>
          <w:numId w:val="16"/>
        </w:numPr>
        <w:contextualSpacing/>
        <w:jc w:val="both"/>
        <w:rPr>
          <w:rFonts w:ascii="Garamond" w:hAnsi="Garamond"/>
          <w:sz w:val="22"/>
          <w:szCs w:val="22"/>
        </w:rPr>
      </w:pPr>
      <w:r>
        <w:rPr>
          <w:rFonts w:ascii="Garamond" w:hAnsi="Garamond"/>
          <w:sz w:val="22"/>
          <w:szCs w:val="22"/>
        </w:rPr>
        <w:t>T</w:t>
      </w:r>
      <w:r w:rsidRPr="007E47B9">
        <w:rPr>
          <w:rFonts w:ascii="Garamond" w:hAnsi="Garamond"/>
          <w:sz w:val="22"/>
          <w:szCs w:val="22"/>
        </w:rPr>
        <w:t>he review process takes into consideration the broader impacts on both the applicant</w:t>
      </w:r>
      <w:r>
        <w:rPr>
          <w:rFonts w:ascii="Garamond" w:hAnsi="Garamond"/>
          <w:sz w:val="22"/>
          <w:szCs w:val="22"/>
        </w:rPr>
        <w:t>’</w:t>
      </w:r>
      <w:r w:rsidRPr="007E47B9">
        <w:rPr>
          <w:rFonts w:ascii="Garamond" w:hAnsi="Garamond"/>
          <w:sz w:val="22"/>
          <w:szCs w:val="22"/>
        </w:rPr>
        <w:t>s scholarly, creative, or professional program and the overall teacher-scholar and librarian-scholar culture at TCNJ.</w:t>
      </w:r>
    </w:p>
    <w:p w:rsidR="00914165" w:rsidRPr="00CF00EC" w:rsidRDefault="00914165" w:rsidP="00914165">
      <w:pPr>
        <w:pStyle w:val="ColorfulList-Accent11"/>
        <w:ind w:left="0"/>
        <w:contextualSpacing/>
        <w:jc w:val="both"/>
        <w:rPr>
          <w:rFonts w:ascii="Garamond" w:hAnsi="Garamond"/>
          <w:sz w:val="22"/>
          <w:szCs w:val="22"/>
        </w:rPr>
      </w:pPr>
    </w:p>
    <w:p w:rsidR="00942F77" w:rsidRPr="00E6276E" w:rsidRDefault="00942F77" w:rsidP="00C81511">
      <w:pPr>
        <w:jc w:val="both"/>
        <w:rPr>
          <w:rFonts w:ascii="Garamond" w:hAnsi="Garamond"/>
          <w:sz w:val="22"/>
        </w:rPr>
      </w:pPr>
      <w:r w:rsidRPr="00E6276E">
        <w:rPr>
          <w:rFonts w:ascii="Garamond" w:hAnsi="Garamond"/>
          <w:sz w:val="22"/>
        </w:rPr>
        <w:t>All full-time, tenure-line faculty members and librarians, regardless of tenure status or rank, are eligible and encouraged to apply for SOSA awards.  The teaching or administrative needs of any Program, Department, or School cannot be used to discourage any applicant from applying.</w:t>
      </w:r>
    </w:p>
    <w:p w:rsidR="00942F77" w:rsidRDefault="00942F77" w:rsidP="00942F77">
      <w:pPr>
        <w:tabs>
          <w:tab w:val="left" w:pos="360"/>
        </w:tabs>
        <w:jc w:val="both"/>
        <w:rPr>
          <w:rFonts w:ascii="Garamond" w:hAnsi="Garamond"/>
          <w:b/>
          <w:smallCaps/>
        </w:rPr>
      </w:pPr>
    </w:p>
    <w:p w:rsidR="009B1797" w:rsidRDefault="009B1797" w:rsidP="009B1797">
      <w:pPr>
        <w:tabs>
          <w:tab w:val="left" w:pos="360"/>
        </w:tabs>
        <w:jc w:val="both"/>
        <w:rPr>
          <w:rFonts w:ascii="Garamond" w:hAnsi="Garamond"/>
          <w:b/>
          <w:sz w:val="16"/>
        </w:rPr>
      </w:pPr>
      <w:r>
        <w:rPr>
          <w:rFonts w:ascii="Garamond" w:hAnsi="Garamond"/>
          <w:b/>
          <w:smallCaps/>
        </w:rPr>
        <w:t>Distribution and Duration of Awards</w:t>
      </w:r>
    </w:p>
    <w:p w:rsidR="009B1797" w:rsidRPr="002D3826" w:rsidRDefault="00194244" w:rsidP="009B179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43180</wp:posOffset>
                </wp:positionV>
                <wp:extent cx="5943600" cy="13970"/>
                <wp:effectExtent l="9525" t="5080" r="9525" b="952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XoGwIAAC4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" strokecolor="#339"/>
            </w:pict>
          </mc:Fallback>
        </mc:AlternateContent>
      </w:r>
    </w:p>
    <w:p w:rsidR="00942F77" w:rsidRPr="00E6276E" w:rsidRDefault="00942F77" w:rsidP="00942F77">
      <w:pPr>
        <w:jc w:val="both"/>
        <w:rPr>
          <w:rFonts w:ascii="Garamond" w:hAnsi="Garamond"/>
          <w:sz w:val="22"/>
        </w:rPr>
      </w:pPr>
      <w:r w:rsidRPr="00E6276E">
        <w:rPr>
          <w:rFonts w:ascii="Garamond" w:hAnsi="Garamond"/>
          <w:sz w:val="22"/>
        </w:rPr>
        <w:t xml:space="preserve">Awards are distributed competitively according to a procedure recommended by the Committee on Faculty Affairs (CFA) and approved through the governance process in consultation with the Union.  A campus-wide SOSA </w:t>
      </w:r>
      <w:r>
        <w:rPr>
          <w:rFonts w:ascii="Garamond" w:hAnsi="Garamond"/>
          <w:sz w:val="22"/>
        </w:rPr>
        <w:t>C</w:t>
      </w:r>
      <w:r w:rsidRPr="00E6276E">
        <w:rPr>
          <w:rFonts w:ascii="Garamond" w:hAnsi="Garamond"/>
          <w:sz w:val="22"/>
        </w:rPr>
        <w:t xml:space="preserve">ommittee, made up of appointed members of the faculty, evaluates applications. </w:t>
      </w:r>
    </w:p>
    <w:p w:rsidR="00942F77" w:rsidRPr="00E6276E" w:rsidRDefault="00942F77" w:rsidP="00942F77">
      <w:pPr>
        <w:jc w:val="both"/>
        <w:rPr>
          <w:rFonts w:ascii="Garamond" w:hAnsi="Garamond"/>
          <w:sz w:val="22"/>
        </w:rPr>
      </w:pPr>
    </w:p>
    <w:p w:rsidR="00DB3921" w:rsidRDefault="00942F77" w:rsidP="003F3F1E">
      <w:pPr>
        <w:jc w:val="both"/>
        <w:rPr>
          <w:rFonts w:ascii="Garamond" w:hAnsi="Garamond"/>
          <w:sz w:val="22"/>
        </w:rPr>
      </w:pPr>
      <w:r w:rsidRPr="00E6276E">
        <w:rPr>
          <w:rFonts w:ascii="Garamond" w:hAnsi="Garamond"/>
          <w:sz w:val="22"/>
        </w:rPr>
        <w:t>A total</w:t>
      </w:r>
      <w:r>
        <w:rPr>
          <w:rFonts w:ascii="Garamond" w:hAnsi="Garamond"/>
          <w:sz w:val="22"/>
        </w:rPr>
        <w:t xml:space="preserve"> of 96 awards, of three faculty-weighted-</w:t>
      </w:r>
      <w:r w:rsidRPr="00E6276E">
        <w:rPr>
          <w:rFonts w:ascii="Garamond" w:hAnsi="Garamond"/>
          <w:sz w:val="22"/>
        </w:rPr>
        <w:t xml:space="preserve">hours each, </w:t>
      </w:r>
      <w:r>
        <w:rPr>
          <w:rFonts w:ascii="Garamond" w:hAnsi="Garamond"/>
          <w:sz w:val="22"/>
        </w:rPr>
        <w:t>are</w:t>
      </w:r>
      <w:r w:rsidRPr="00E6276E">
        <w:rPr>
          <w:rFonts w:ascii="Garamond" w:hAnsi="Garamond"/>
          <w:sz w:val="22"/>
        </w:rPr>
        <w:t xml:space="preserve"> distributed each academic year.  This total includes the number of awards that are ongoing from the previous year. The SOSA program now uses a system of two-year awards for all successful applicants. Approximately half of the 96 SOSA slots are awarded each year. A small number of one-year awards may also become available as a result of recipients </w:t>
      </w:r>
      <w:r w:rsidRPr="00E6276E">
        <w:rPr>
          <w:rFonts w:ascii="Garamond" w:hAnsi="Garamond"/>
          <w:sz w:val="22"/>
        </w:rPr>
        <w:lastRenderedPageBreak/>
        <w:t>relinquishing one year of a two-year award. All applicants are assumed to be applying for a two-year award; they need not indicate in the proposal that they are seeking a two-year award.</w:t>
      </w:r>
    </w:p>
    <w:p w:rsidR="003F3F1E" w:rsidRDefault="003F3F1E" w:rsidP="003F3F1E">
      <w:pPr>
        <w:jc w:val="both"/>
        <w:rPr>
          <w:rFonts w:ascii="Garamond" w:hAnsi="Garamond"/>
          <w:sz w:val="22"/>
        </w:rPr>
      </w:pPr>
    </w:p>
    <w:p w:rsidR="00942F77" w:rsidRPr="003F3F1E" w:rsidRDefault="00942F77" w:rsidP="003F3F1E">
      <w:pPr>
        <w:jc w:val="both"/>
        <w:rPr>
          <w:rFonts w:ascii="Garamond" w:hAnsi="Garamond"/>
          <w:sz w:val="22"/>
        </w:rPr>
      </w:pPr>
      <w:r>
        <w:rPr>
          <w:rFonts w:ascii="Garamond" w:hAnsi="Garamond"/>
          <w:b/>
          <w:smallCaps/>
        </w:rPr>
        <w:t>Conditions for Alternate Assignment in SOSA</w:t>
      </w:r>
    </w:p>
    <w:p w:rsidR="00942F77" w:rsidRPr="002D3826" w:rsidRDefault="00194244" w:rsidP="00942F7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FzG&#10;SYAWAgAAKgQAAA4AAAAAAAAAAAAAAAAALgIAAGRycy9lMm9Eb2MueG1sUEsBAi0AFAAGAAgAAAAh&#10;ADdThuvaAAAABAEAAA8AAAAAAAAAAAAAAAAAcAQAAGRycy9kb3ducmV2LnhtbFBLBQYAAAAABAAE&#10;APMAAAB3BQAAAAA=&#10;" strokecolor="#339"/>
            </w:pict>
          </mc:Fallback>
        </mc:AlternateContent>
      </w:r>
    </w:p>
    <w:p w:rsidR="00942F77" w:rsidRDefault="00942F77" w:rsidP="00942F77">
      <w:pPr>
        <w:jc w:val="both"/>
        <w:rPr>
          <w:rFonts w:ascii="Garamond" w:hAnsi="Garamond"/>
          <w:sz w:val="22"/>
        </w:rPr>
      </w:pPr>
      <w:r>
        <w:rPr>
          <w:rFonts w:ascii="Garamond" w:hAnsi="Garamond"/>
          <w:sz w:val="22"/>
        </w:rPr>
        <w:t>The following conditions apply to all faculty members receiving SOSA awards:</w:t>
      </w:r>
    </w:p>
    <w:p w:rsidR="00942F77" w:rsidRDefault="00942F77" w:rsidP="00942F77">
      <w:pPr>
        <w:jc w:val="both"/>
        <w:rPr>
          <w:rFonts w:ascii="Garamond" w:hAnsi="Garamond"/>
          <w:sz w:val="22"/>
        </w:rPr>
      </w:pPr>
    </w:p>
    <w:p w:rsidR="00942F77" w:rsidRPr="00896A11" w:rsidRDefault="00942F77" w:rsidP="00942F77">
      <w:pPr>
        <w:numPr>
          <w:ilvl w:val="1"/>
          <w:numId w:val="5"/>
        </w:numPr>
        <w:tabs>
          <w:tab w:val="clear" w:pos="1080"/>
          <w:tab w:val="num" w:pos="720"/>
        </w:tabs>
        <w:ind w:left="720"/>
        <w:jc w:val="both"/>
        <w:rPr>
          <w:rFonts w:ascii="Garamond" w:hAnsi="Garamond"/>
          <w:sz w:val="22"/>
        </w:rPr>
      </w:pPr>
      <w:r w:rsidRPr="00896A11">
        <w:rPr>
          <w:rFonts w:ascii="Garamond" w:hAnsi="Garamond"/>
          <w:sz w:val="22"/>
        </w:rPr>
        <w:t>Recipients of SOSA alternate assignments may not accept overload course assignments during the same academic year that she/he holds the award.  Overload that does not add-up to a course, such as 0.2 or 0.5 faculty</w:t>
      </w:r>
      <w:r>
        <w:rPr>
          <w:rFonts w:ascii="Garamond" w:hAnsi="Garamond"/>
          <w:sz w:val="22"/>
        </w:rPr>
        <w:t>-</w:t>
      </w:r>
      <w:r w:rsidRPr="00896A11">
        <w:rPr>
          <w:rFonts w:ascii="Garamond" w:hAnsi="Garamond"/>
          <w:sz w:val="22"/>
        </w:rPr>
        <w:t>weighted</w:t>
      </w:r>
      <w:r>
        <w:rPr>
          <w:rFonts w:ascii="Garamond" w:hAnsi="Garamond"/>
          <w:sz w:val="22"/>
        </w:rPr>
        <w:t>-</w:t>
      </w:r>
      <w:r w:rsidRPr="00896A11">
        <w:rPr>
          <w:rFonts w:ascii="Garamond" w:hAnsi="Garamond"/>
          <w:sz w:val="22"/>
        </w:rPr>
        <w:t>hours</w:t>
      </w:r>
      <w:r w:rsidR="001B3764">
        <w:rPr>
          <w:rFonts w:ascii="Garamond" w:hAnsi="Garamond"/>
          <w:sz w:val="22"/>
        </w:rPr>
        <w:t xml:space="preserve"> (FWH)</w:t>
      </w:r>
      <w:r w:rsidRPr="00896A11">
        <w:rPr>
          <w:rFonts w:ascii="Garamond" w:hAnsi="Garamond"/>
          <w:sz w:val="22"/>
        </w:rPr>
        <w:t>, is permitted.</w:t>
      </w:r>
      <w:r>
        <w:rPr>
          <w:rFonts w:ascii="Garamond" w:hAnsi="Garamond"/>
          <w:sz w:val="22"/>
        </w:rPr>
        <w:t xml:space="preserve"> </w:t>
      </w:r>
      <w:r w:rsidR="00AE6A02">
        <w:rPr>
          <w:rFonts w:ascii="Garamond" w:hAnsi="Garamond"/>
          <w:sz w:val="22"/>
        </w:rPr>
        <w:t xml:space="preserve"> </w:t>
      </w:r>
      <w:r w:rsidR="001B3764">
        <w:rPr>
          <w:rFonts w:ascii="Garamond" w:hAnsi="Garamond"/>
          <w:sz w:val="22"/>
        </w:rPr>
        <w:t>O</w:t>
      </w:r>
      <w:r>
        <w:rPr>
          <w:rFonts w:ascii="Garamond" w:hAnsi="Garamond"/>
          <w:sz w:val="22"/>
        </w:rPr>
        <w:t xml:space="preserve">verloads totaling more than 3 </w:t>
      </w:r>
      <w:r w:rsidR="00AE6A02">
        <w:rPr>
          <w:rFonts w:ascii="Garamond" w:hAnsi="Garamond"/>
          <w:sz w:val="22"/>
        </w:rPr>
        <w:t>FWH during a SOSA year require P</w:t>
      </w:r>
      <w:r>
        <w:rPr>
          <w:rFonts w:ascii="Garamond" w:hAnsi="Garamond"/>
          <w:sz w:val="22"/>
        </w:rPr>
        <w:t>rovost</w:t>
      </w:r>
      <w:r w:rsidR="00FE61E0">
        <w:rPr>
          <w:rFonts w:ascii="Garamond" w:hAnsi="Garamond"/>
          <w:sz w:val="22"/>
        </w:rPr>
        <w:t>’</w:t>
      </w:r>
      <w:r>
        <w:rPr>
          <w:rFonts w:ascii="Garamond" w:hAnsi="Garamond"/>
          <w:sz w:val="22"/>
        </w:rPr>
        <w:t>s approval.</w:t>
      </w:r>
    </w:p>
    <w:p w:rsidR="00942F77" w:rsidRPr="00896A11" w:rsidRDefault="00942F77" w:rsidP="00942F77">
      <w:pPr>
        <w:tabs>
          <w:tab w:val="num" w:pos="720"/>
        </w:tabs>
        <w:ind w:left="720" w:hanging="360"/>
        <w:jc w:val="both"/>
        <w:rPr>
          <w:rFonts w:ascii="Garamond" w:hAnsi="Garamond"/>
          <w:sz w:val="22"/>
          <w:highlight w:val="yellow"/>
        </w:rPr>
      </w:pPr>
    </w:p>
    <w:p w:rsidR="00942F77" w:rsidRPr="00896A11" w:rsidRDefault="00942F77" w:rsidP="00942F77">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Faculty members</w:t>
      </w:r>
      <w:r w:rsidR="001B3764">
        <w:rPr>
          <w:rFonts w:ascii="Garamond" w:hAnsi="Garamond"/>
          <w:i w:val="0"/>
          <w:sz w:val="22"/>
        </w:rPr>
        <w:t xml:space="preserve"> and librarians</w:t>
      </w:r>
      <w:r w:rsidRPr="00896A11">
        <w:rPr>
          <w:rFonts w:ascii="Garamond" w:hAnsi="Garamond"/>
          <w:i w:val="0"/>
          <w:sz w:val="22"/>
        </w:rPr>
        <w:t xml:space="preserve"> who apply for both a sabbatical and a SOSA award at the same time must choose to accept one or the other if both are awarded.  Those who choose a sabbatical forfeit the SOSA award for the sabbatical year.  </w:t>
      </w:r>
      <w:r w:rsidR="001B3764">
        <w:rPr>
          <w:rFonts w:ascii="Garamond" w:hAnsi="Garamond"/>
          <w:i w:val="0"/>
          <w:sz w:val="22"/>
        </w:rPr>
        <w:t>Applicants</w:t>
      </w:r>
      <w:r w:rsidRPr="00896A11">
        <w:rPr>
          <w:rFonts w:ascii="Garamond" w:hAnsi="Garamond"/>
          <w:i w:val="0"/>
          <w:sz w:val="22"/>
        </w:rPr>
        <w:t xml:space="preserve"> may not </w:t>
      </w:r>
      <w:r w:rsidRPr="00896A11" w:rsidDel="00707CE6">
        <w:rPr>
          <w:rFonts w:ascii="Garamond" w:hAnsi="Garamond"/>
          <w:i w:val="0"/>
          <w:sz w:val="22"/>
        </w:rPr>
        <w:t>receive</w:t>
      </w:r>
      <w:r w:rsidRPr="00896A11">
        <w:rPr>
          <w:rFonts w:ascii="Garamond" w:hAnsi="Garamond"/>
          <w:i w:val="0"/>
          <w:sz w:val="22"/>
        </w:rPr>
        <w:t xml:space="preserve"> both sabbatical leave (whole- or half-year) and a SOSA award during the same academic year.  If a faculty member</w:t>
      </w:r>
      <w:r w:rsidR="001B3764">
        <w:rPr>
          <w:rFonts w:ascii="Garamond" w:hAnsi="Garamond"/>
          <w:i w:val="0"/>
          <w:sz w:val="22"/>
        </w:rPr>
        <w:t xml:space="preserve"> or librarian</w:t>
      </w:r>
      <w:r w:rsidRPr="00896A11">
        <w:rPr>
          <w:rFonts w:ascii="Garamond" w:hAnsi="Garamond"/>
          <w:i w:val="0"/>
          <w:sz w:val="22"/>
        </w:rPr>
        <w:t xml:space="preserve"> decides to take a sabbatical (whole- or half-year) during one year of a two-year SOSA award, the SOSA award is forfeited for that year. </w:t>
      </w:r>
    </w:p>
    <w:p w:rsidR="00942F77" w:rsidRPr="00896A11" w:rsidRDefault="00942F77" w:rsidP="00942F77">
      <w:pPr>
        <w:pStyle w:val="BodyTextIndent"/>
        <w:tabs>
          <w:tab w:val="num" w:pos="720"/>
        </w:tabs>
        <w:ind w:hanging="360"/>
        <w:jc w:val="both"/>
        <w:rPr>
          <w:rFonts w:ascii="Garamond" w:hAnsi="Garamond"/>
          <w:i w:val="0"/>
          <w:sz w:val="22"/>
        </w:rPr>
      </w:pPr>
      <w:r w:rsidRPr="00896A11">
        <w:rPr>
          <w:rFonts w:ascii="Garamond" w:hAnsi="Garamond"/>
          <w:i w:val="0"/>
          <w:sz w:val="22"/>
        </w:rPr>
        <w:t xml:space="preserve"> </w:t>
      </w:r>
    </w:p>
    <w:p w:rsidR="00942F77" w:rsidRPr="00896A11" w:rsidRDefault="00942F77" w:rsidP="00942F77">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 xml:space="preserve">Applicants who apply unsuccessfully for </w:t>
      </w:r>
      <w:r>
        <w:rPr>
          <w:rFonts w:ascii="Garamond" w:hAnsi="Garamond"/>
          <w:i w:val="0"/>
          <w:sz w:val="22"/>
        </w:rPr>
        <w:t xml:space="preserve">a </w:t>
      </w:r>
      <w:r w:rsidRPr="00896A11">
        <w:rPr>
          <w:rFonts w:ascii="Garamond" w:hAnsi="Garamond"/>
          <w:i w:val="0"/>
          <w:sz w:val="22"/>
        </w:rPr>
        <w:t xml:space="preserve">SOSA </w:t>
      </w:r>
      <w:r>
        <w:rPr>
          <w:rFonts w:ascii="Garamond" w:hAnsi="Garamond"/>
          <w:i w:val="0"/>
          <w:sz w:val="22"/>
        </w:rPr>
        <w:t xml:space="preserve">award </w:t>
      </w:r>
      <w:r w:rsidRPr="00896A11">
        <w:rPr>
          <w:rFonts w:ascii="Garamond" w:hAnsi="Garamond"/>
          <w:i w:val="0"/>
          <w:sz w:val="22"/>
        </w:rPr>
        <w:t xml:space="preserve">in one year may reapply in subsequent years. </w:t>
      </w:r>
    </w:p>
    <w:p w:rsidR="00942F77" w:rsidRPr="00896A11" w:rsidRDefault="00942F77" w:rsidP="00942F77">
      <w:pPr>
        <w:pStyle w:val="BodyTextIndent"/>
        <w:tabs>
          <w:tab w:val="num" w:pos="720"/>
        </w:tabs>
        <w:ind w:hanging="360"/>
        <w:jc w:val="both"/>
        <w:rPr>
          <w:rFonts w:ascii="Garamond" w:hAnsi="Garamond"/>
          <w:i w:val="0"/>
          <w:sz w:val="22"/>
        </w:rPr>
      </w:pPr>
    </w:p>
    <w:p w:rsidR="00942F77" w:rsidRPr="00896A11" w:rsidRDefault="00942F77" w:rsidP="00942F77">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SOSA awards may not be used to reduce any full-time faculty member</w:t>
      </w:r>
      <w:r w:rsidR="00FE61E0">
        <w:rPr>
          <w:rFonts w:ascii="Garamond" w:hAnsi="Garamond"/>
          <w:i w:val="0"/>
          <w:sz w:val="22"/>
        </w:rPr>
        <w:t>’</w:t>
      </w:r>
      <w:r w:rsidRPr="00896A11">
        <w:rPr>
          <w:rFonts w:ascii="Garamond" w:hAnsi="Garamond"/>
          <w:i w:val="0"/>
          <w:sz w:val="22"/>
        </w:rPr>
        <w:t xml:space="preserve">s teaching load below one course unit per academic year. </w:t>
      </w:r>
    </w:p>
    <w:p w:rsidR="00942F77" w:rsidRPr="00896A11" w:rsidRDefault="00942F77" w:rsidP="00942F77">
      <w:pPr>
        <w:pStyle w:val="ColorfulList-Accent11"/>
        <w:tabs>
          <w:tab w:val="num" w:pos="720"/>
        </w:tabs>
        <w:ind w:hanging="360"/>
        <w:jc w:val="both"/>
        <w:rPr>
          <w:rFonts w:ascii="Garamond" w:hAnsi="Garamond"/>
          <w:i/>
          <w:sz w:val="22"/>
        </w:rPr>
      </w:pPr>
    </w:p>
    <w:p w:rsidR="00942F77" w:rsidRPr="00896A11" w:rsidRDefault="00942F77" w:rsidP="00942F77">
      <w:pPr>
        <w:pStyle w:val="BodyTextIndent"/>
        <w:numPr>
          <w:ilvl w:val="1"/>
          <w:numId w:val="5"/>
        </w:numPr>
        <w:tabs>
          <w:tab w:val="clear" w:pos="1080"/>
          <w:tab w:val="num" w:pos="720"/>
        </w:tabs>
        <w:ind w:left="720"/>
        <w:jc w:val="both"/>
        <w:rPr>
          <w:rFonts w:ascii="Garamond" w:hAnsi="Garamond"/>
          <w:i w:val="0"/>
          <w:sz w:val="22"/>
        </w:rPr>
      </w:pPr>
      <w:r w:rsidRPr="00896A11">
        <w:rPr>
          <w:rFonts w:ascii="Garamond" w:hAnsi="Garamond"/>
          <w:i w:val="0"/>
          <w:sz w:val="22"/>
        </w:rPr>
        <w:t>Faculty members</w:t>
      </w:r>
      <w:r w:rsidR="001B3764">
        <w:rPr>
          <w:rFonts w:ascii="Garamond" w:hAnsi="Garamond"/>
          <w:i w:val="0"/>
          <w:sz w:val="22"/>
        </w:rPr>
        <w:t xml:space="preserve"> or librarians</w:t>
      </w:r>
      <w:r w:rsidRPr="00896A11">
        <w:rPr>
          <w:rFonts w:ascii="Garamond" w:hAnsi="Garamond"/>
          <w:i w:val="0"/>
          <w:sz w:val="22"/>
        </w:rPr>
        <w:t xml:space="preserve"> who are denied reappointment or tenure forfeit any SOSA award for the final year of employment.</w:t>
      </w:r>
    </w:p>
    <w:p w:rsidR="00942F77" w:rsidRPr="006213B8" w:rsidRDefault="00942F77" w:rsidP="00942F77">
      <w:pPr>
        <w:tabs>
          <w:tab w:val="left" w:pos="360"/>
          <w:tab w:val="num" w:pos="720"/>
        </w:tabs>
        <w:ind w:left="720" w:hanging="360"/>
        <w:jc w:val="both"/>
        <w:rPr>
          <w:rFonts w:ascii="Garamond" w:hAnsi="Garamond"/>
          <w:b/>
          <w:smallCaps/>
        </w:rPr>
      </w:pPr>
    </w:p>
    <w:p w:rsidR="009B1797" w:rsidRDefault="00942F77" w:rsidP="00942F77">
      <w:pPr>
        <w:tabs>
          <w:tab w:val="left" w:pos="360"/>
        </w:tabs>
        <w:jc w:val="both"/>
        <w:rPr>
          <w:rFonts w:ascii="Garamond" w:hAnsi="Garamond"/>
          <w:b/>
          <w:smallCaps/>
        </w:rPr>
      </w:pPr>
      <w:r>
        <w:rPr>
          <w:rFonts w:ascii="Garamond" w:hAnsi="Garamond"/>
          <w:b/>
          <w:smallCaps/>
        </w:rPr>
        <w:t>Types of Eligible Scholarly/Creative/Professional Activities</w:t>
      </w:r>
    </w:p>
    <w:p w:rsidR="009B1797" w:rsidRPr="002D3826" w:rsidRDefault="00194244" w:rsidP="009B179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FgIAACo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Pr6&#10;FRoWAgAAKgQAAA4AAAAAAAAAAAAAAAAALgIAAGRycy9lMm9Eb2MueG1sUEsBAi0AFAAGAAgAAAAh&#10;ADdThuvaAAAABAEAAA8AAAAAAAAAAAAAAAAAcAQAAGRycy9kb3ducmV2LnhtbFBLBQYAAAAABAAE&#10;APMAAAB3BQAAAAA=&#10;" strokecolor="#339"/>
            </w:pict>
          </mc:Fallback>
        </mc:AlternateContent>
      </w:r>
    </w:p>
    <w:p w:rsidR="00942F77" w:rsidRDefault="00942F77" w:rsidP="00942F77">
      <w:pPr>
        <w:jc w:val="both"/>
        <w:rPr>
          <w:rFonts w:ascii="Garamond" w:hAnsi="Garamond"/>
          <w:sz w:val="22"/>
        </w:rPr>
      </w:pPr>
      <w:r>
        <w:rPr>
          <w:rFonts w:ascii="Garamond" w:hAnsi="Garamond"/>
          <w:sz w:val="22"/>
        </w:rPr>
        <w:t>The following types of scholarly/creative/professional activities are eligible to be supported by the SOSA program:</w:t>
      </w:r>
    </w:p>
    <w:p w:rsidR="00942F77" w:rsidRPr="00896A11" w:rsidRDefault="00942F77" w:rsidP="00942F77">
      <w:pPr>
        <w:tabs>
          <w:tab w:val="left" w:pos="360"/>
        </w:tabs>
        <w:jc w:val="both"/>
        <w:rPr>
          <w:rFonts w:ascii="Garamond" w:hAnsi="Garamond"/>
          <w:b/>
          <w:smallCaps/>
          <w:sz w:val="22"/>
        </w:rPr>
      </w:pPr>
    </w:p>
    <w:p w:rsidR="00942F77" w:rsidRDefault="00942F77" w:rsidP="00942F77">
      <w:pPr>
        <w:tabs>
          <w:tab w:val="left" w:pos="720"/>
        </w:tabs>
        <w:ind w:left="720" w:hanging="360"/>
        <w:jc w:val="both"/>
        <w:rPr>
          <w:rFonts w:ascii="Garamond" w:hAnsi="Garamond"/>
          <w:sz w:val="22"/>
        </w:rPr>
      </w:pPr>
      <w:r w:rsidRPr="00896A11">
        <w:rPr>
          <w:rFonts w:ascii="Garamond" w:hAnsi="Garamond"/>
          <w:sz w:val="22"/>
        </w:rPr>
        <w:t xml:space="preserve">1. </w:t>
      </w:r>
      <w:r>
        <w:rPr>
          <w:rFonts w:ascii="Garamond" w:hAnsi="Garamond"/>
          <w:sz w:val="22"/>
        </w:rPr>
        <w:tab/>
      </w:r>
      <w:r w:rsidRPr="005E3328">
        <w:rPr>
          <w:rFonts w:ascii="Garamond" w:hAnsi="Garamond"/>
          <w:b/>
          <w:sz w:val="22"/>
        </w:rPr>
        <w:t>Research</w:t>
      </w:r>
      <w:r>
        <w:rPr>
          <w:rFonts w:ascii="Garamond" w:hAnsi="Garamond"/>
          <w:sz w:val="22"/>
        </w:rPr>
        <w:t xml:space="preserve"> </w:t>
      </w:r>
    </w:p>
    <w:p w:rsidR="00C20FE3"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 xml:space="preserve">Any of the following categories of research are eligible for support as long as they are to be communicated to the academic community beyond TCNJ.  Eligible venues for communicating research include a broad range commensurate with practices among the many disciplinary and </w:t>
      </w:r>
      <w:r>
        <w:rPr>
          <w:rFonts w:ascii="Garamond" w:hAnsi="Garamond"/>
          <w:sz w:val="22"/>
        </w:rPr>
        <w:t>inter</w:t>
      </w:r>
      <w:r w:rsidRPr="00896A11">
        <w:rPr>
          <w:rFonts w:ascii="Garamond" w:hAnsi="Garamond"/>
          <w:sz w:val="22"/>
        </w:rPr>
        <w:t xml:space="preserve">-disciplinary fields in which TCNJ teacher-scholars conduct their work.  The most common include: articles in professional journals; published books, editions, textbooks, and chapters; original papers for conferences or professional societies; lecture recitals; service as editor or reviewer of scholarly works or proposals; proceedings of conferences, panels, or meetings; published manuals or handbooks to accompany texts, instruments, or equipment; software; and electronic media.  </w:t>
      </w:r>
    </w:p>
    <w:p w:rsidR="00942F77" w:rsidRDefault="00942F77" w:rsidP="00942F77">
      <w:pPr>
        <w:tabs>
          <w:tab w:val="left" w:pos="720"/>
        </w:tabs>
        <w:ind w:left="720" w:hanging="360"/>
        <w:jc w:val="both"/>
        <w:rPr>
          <w:rFonts w:ascii="Garamond" w:hAnsi="Garamond"/>
          <w:sz w:val="22"/>
        </w:rPr>
      </w:pPr>
    </w:p>
    <w:p w:rsidR="00C20FE3"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a.</w:t>
      </w:r>
      <w:r w:rsidR="00942F77">
        <w:rPr>
          <w:rFonts w:ascii="Garamond" w:hAnsi="Garamond"/>
          <w:sz w:val="22"/>
        </w:rPr>
        <w:tab/>
      </w:r>
      <w:r w:rsidR="00942F77" w:rsidRPr="00896A11">
        <w:rPr>
          <w:rFonts w:ascii="Garamond" w:hAnsi="Garamond"/>
          <w:i/>
          <w:sz w:val="22"/>
        </w:rPr>
        <w:t>The Scholarship of Discovery</w:t>
      </w:r>
      <w:r w:rsidR="00942F77">
        <w:rPr>
          <w:rFonts w:ascii="Garamond" w:hAnsi="Garamond"/>
          <w:sz w:val="22"/>
        </w:rPr>
        <w:t xml:space="preserve"> – T</w:t>
      </w:r>
      <w:r w:rsidR="00942F77" w:rsidRPr="00896A11">
        <w:rPr>
          <w:rFonts w:ascii="Garamond" w:hAnsi="Garamond"/>
          <w:sz w:val="22"/>
        </w:rPr>
        <w:t>he traditional research model in which new content knowledge is acquired.</w:t>
      </w:r>
    </w:p>
    <w:p w:rsidR="00C20FE3"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b.</w:t>
      </w:r>
      <w:r w:rsidR="00942F77" w:rsidRPr="00896A11">
        <w:rPr>
          <w:rFonts w:ascii="Garamond" w:hAnsi="Garamond"/>
          <w:sz w:val="22"/>
        </w:rPr>
        <w:t xml:space="preserve"> </w:t>
      </w:r>
      <w:r w:rsidR="00942F77">
        <w:rPr>
          <w:rFonts w:ascii="Garamond" w:hAnsi="Garamond"/>
          <w:sz w:val="22"/>
        </w:rPr>
        <w:tab/>
      </w:r>
      <w:r w:rsidR="00942F77" w:rsidRPr="00896A11">
        <w:rPr>
          <w:rFonts w:ascii="Garamond" w:hAnsi="Garamond"/>
          <w:i/>
          <w:sz w:val="22"/>
        </w:rPr>
        <w:t>The Scholarship of Integration</w:t>
      </w:r>
      <w:r w:rsidR="00942F77">
        <w:rPr>
          <w:rFonts w:ascii="Garamond" w:hAnsi="Garamond"/>
          <w:sz w:val="22"/>
        </w:rPr>
        <w:t xml:space="preserve"> – T</w:t>
      </w:r>
      <w:r w:rsidR="00942F77" w:rsidRPr="00896A11">
        <w:rPr>
          <w:rFonts w:ascii="Garamond" w:hAnsi="Garamond"/>
          <w:sz w:val="22"/>
        </w:rPr>
        <w:t xml:space="preserve">he creation of new knowledge by synthesizing and making connections across disciplines or sub-disciplines. </w:t>
      </w:r>
    </w:p>
    <w:p w:rsidR="00C20FE3"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c.</w:t>
      </w:r>
      <w:r w:rsidR="00942F77" w:rsidRPr="00896A11">
        <w:rPr>
          <w:rFonts w:ascii="Garamond" w:hAnsi="Garamond"/>
          <w:sz w:val="22"/>
        </w:rPr>
        <w:t xml:space="preserve"> </w:t>
      </w:r>
      <w:r w:rsidR="00942F77">
        <w:rPr>
          <w:rFonts w:ascii="Garamond" w:hAnsi="Garamond"/>
          <w:sz w:val="22"/>
        </w:rPr>
        <w:tab/>
      </w:r>
      <w:r w:rsidR="00942F77" w:rsidRPr="00896A11">
        <w:rPr>
          <w:rFonts w:ascii="Garamond" w:hAnsi="Garamond"/>
          <w:i/>
          <w:sz w:val="22"/>
        </w:rPr>
        <w:t>The Scholarship of Application</w:t>
      </w:r>
      <w:r w:rsidR="00942F77">
        <w:rPr>
          <w:rFonts w:ascii="Garamond" w:hAnsi="Garamond"/>
          <w:sz w:val="22"/>
        </w:rPr>
        <w:t xml:space="preserve"> – T</w:t>
      </w:r>
      <w:r w:rsidR="00942F77" w:rsidRPr="00896A11">
        <w:rPr>
          <w:rFonts w:ascii="Garamond" w:hAnsi="Garamond"/>
          <w:sz w:val="22"/>
        </w:rPr>
        <w:t>he bridging of the gap between theory and practice through both research and action.</w:t>
      </w:r>
    </w:p>
    <w:p w:rsidR="00942F77" w:rsidRPr="00896A11"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d.</w:t>
      </w:r>
      <w:r w:rsidR="00942F77" w:rsidRPr="00896A11">
        <w:rPr>
          <w:rFonts w:ascii="Garamond" w:hAnsi="Garamond"/>
          <w:sz w:val="22"/>
        </w:rPr>
        <w:t xml:space="preserve"> </w:t>
      </w:r>
      <w:r w:rsidR="00942F77">
        <w:rPr>
          <w:rFonts w:ascii="Garamond" w:hAnsi="Garamond"/>
          <w:sz w:val="22"/>
        </w:rPr>
        <w:tab/>
      </w:r>
      <w:r w:rsidR="00942F77" w:rsidRPr="00896A11">
        <w:rPr>
          <w:rFonts w:ascii="Garamond" w:hAnsi="Garamond"/>
          <w:i/>
          <w:sz w:val="22"/>
        </w:rPr>
        <w:t>The Scholarship of Pedagogy</w:t>
      </w:r>
      <w:r w:rsidR="00942F77">
        <w:rPr>
          <w:rFonts w:ascii="Garamond" w:hAnsi="Garamond"/>
          <w:sz w:val="22"/>
        </w:rPr>
        <w:t xml:space="preserve"> – T</w:t>
      </w:r>
      <w:r w:rsidR="00942F77" w:rsidRPr="00896A11">
        <w:rPr>
          <w:rFonts w:ascii="Garamond" w:hAnsi="Garamond"/>
          <w:sz w:val="22"/>
        </w:rPr>
        <w:t xml:space="preserve">he discovery or evaluative analysis of the ways students learn, and the identification and assessment of methods used to foster learning. </w:t>
      </w:r>
    </w:p>
    <w:p w:rsidR="00942F77" w:rsidRPr="00896A11" w:rsidRDefault="00942F77" w:rsidP="00942F77">
      <w:pPr>
        <w:tabs>
          <w:tab w:val="left" w:pos="720"/>
        </w:tabs>
        <w:ind w:left="720" w:hanging="360"/>
        <w:jc w:val="both"/>
        <w:rPr>
          <w:rFonts w:ascii="Garamond" w:hAnsi="Garamond"/>
          <w:sz w:val="22"/>
        </w:rPr>
      </w:pPr>
      <w:r w:rsidRPr="00896A11">
        <w:rPr>
          <w:rFonts w:ascii="Garamond" w:hAnsi="Garamond"/>
          <w:sz w:val="22"/>
        </w:rPr>
        <w:tab/>
      </w:r>
      <w:r w:rsidRPr="00896A11">
        <w:rPr>
          <w:rFonts w:ascii="Garamond" w:hAnsi="Garamond"/>
          <w:sz w:val="22"/>
        </w:rPr>
        <w:tab/>
      </w:r>
    </w:p>
    <w:p w:rsidR="00942F77" w:rsidRDefault="00942F77" w:rsidP="00942F77">
      <w:pPr>
        <w:tabs>
          <w:tab w:val="left" w:pos="720"/>
        </w:tabs>
        <w:ind w:left="720" w:hanging="360"/>
        <w:jc w:val="both"/>
        <w:rPr>
          <w:rFonts w:ascii="Garamond" w:hAnsi="Garamond"/>
          <w:sz w:val="22"/>
        </w:rPr>
      </w:pPr>
      <w:r>
        <w:rPr>
          <w:rFonts w:ascii="Garamond" w:hAnsi="Garamond"/>
          <w:sz w:val="22"/>
        </w:rPr>
        <w:t xml:space="preserve">2. </w:t>
      </w:r>
      <w:r>
        <w:rPr>
          <w:rFonts w:ascii="Garamond" w:hAnsi="Garamond"/>
          <w:sz w:val="22"/>
        </w:rPr>
        <w:tab/>
      </w:r>
      <w:r w:rsidRPr="005E3328">
        <w:rPr>
          <w:rFonts w:ascii="Garamond" w:hAnsi="Garamond"/>
          <w:b/>
          <w:sz w:val="22"/>
        </w:rPr>
        <w:t>Creative Endeavors</w:t>
      </w:r>
      <w:r>
        <w:rPr>
          <w:rFonts w:ascii="Garamond" w:hAnsi="Garamond"/>
          <w:sz w:val="22"/>
        </w:rPr>
        <w:t xml:space="preserve"> </w:t>
      </w:r>
    </w:p>
    <w:p w:rsidR="00942F77" w:rsidRPr="00896A11"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 xml:space="preserve">These include original works of art, creative writing, drama, documentary, music, dance, graphic design, digital arts, and architecture.  These creative outcomes are presented to the public through </w:t>
      </w:r>
      <w:r w:rsidRPr="00896A11">
        <w:rPr>
          <w:rFonts w:ascii="Garamond" w:hAnsi="Garamond"/>
          <w:sz w:val="22"/>
        </w:rPr>
        <w:lastRenderedPageBreak/>
        <w:t>performances, shows, original compositions, sound or visual recordings, publications, displays or exhibits.  Activities may include participation on panels, in discussion groups, seminars, or workshops, or curating exhibitions.</w:t>
      </w:r>
    </w:p>
    <w:p w:rsidR="00942F77" w:rsidRPr="00896A11" w:rsidRDefault="00942F77" w:rsidP="00942F77">
      <w:pPr>
        <w:tabs>
          <w:tab w:val="left" w:pos="720"/>
        </w:tabs>
        <w:ind w:left="720" w:hanging="360"/>
        <w:jc w:val="both"/>
        <w:rPr>
          <w:rFonts w:ascii="Garamond" w:hAnsi="Garamond"/>
          <w:sz w:val="22"/>
        </w:rPr>
      </w:pPr>
    </w:p>
    <w:p w:rsidR="00942F77" w:rsidRDefault="00942F77" w:rsidP="00942F77">
      <w:pPr>
        <w:tabs>
          <w:tab w:val="left" w:pos="720"/>
        </w:tabs>
        <w:ind w:left="720" w:hanging="360"/>
        <w:jc w:val="both"/>
        <w:rPr>
          <w:rFonts w:ascii="Garamond" w:hAnsi="Garamond"/>
          <w:sz w:val="22"/>
        </w:rPr>
      </w:pPr>
      <w:r>
        <w:rPr>
          <w:rFonts w:ascii="Garamond" w:hAnsi="Garamond"/>
          <w:sz w:val="22"/>
        </w:rPr>
        <w:t xml:space="preserve">3. </w:t>
      </w:r>
      <w:r>
        <w:rPr>
          <w:rFonts w:ascii="Garamond" w:hAnsi="Garamond"/>
          <w:sz w:val="22"/>
        </w:rPr>
        <w:tab/>
      </w:r>
      <w:r w:rsidRPr="005E3328">
        <w:rPr>
          <w:rFonts w:ascii="Garamond" w:hAnsi="Garamond"/>
          <w:b/>
          <w:sz w:val="22"/>
        </w:rPr>
        <w:t>Professional Activity</w:t>
      </w:r>
      <w:r>
        <w:rPr>
          <w:rFonts w:ascii="Garamond" w:hAnsi="Garamond"/>
          <w:sz w:val="22"/>
        </w:rPr>
        <w:t xml:space="preserve"> </w:t>
      </w:r>
    </w:p>
    <w:p w:rsidR="00942F77" w:rsidRPr="00896A11"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Professional activities as a consultant or practitioner are considered scholarly activity when they involve the creation, rather than the application, of knowledge and impact significantly on one</w:t>
      </w:r>
      <w:r w:rsidR="00FE61E0">
        <w:rPr>
          <w:rFonts w:ascii="Garamond" w:hAnsi="Garamond"/>
          <w:sz w:val="22"/>
        </w:rPr>
        <w:t>’</w:t>
      </w:r>
      <w:r w:rsidRPr="00896A11">
        <w:rPr>
          <w:rFonts w:ascii="Garamond" w:hAnsi="Garamond"/>
          <w:sz w:val="22"/>
        </w:rPr>
        <w:t>s discipline.  These activities demonstrate professional recognition of one</w:t>
      </w:r>
      <w:r w:rsidR="00FE61E0">
        <w:rPr>
          <w:rFonts w:ascii="Garamond" w:hAnsi="Garamond"/>
          <w:sz w:val="22"/>
        </w:rPr>
        <w:t>’</w:t>
      </w:r>
      <w:r w:rsidRPr="00896A11">
        <w:rPr>
          <w:rFonts w:ascii="Garamond" w:hAnsi="Garamond"/>
          <w:sz w:val="22"/>
        </w:rPr>
        <w:t>s scholarship at least at the local level and may include such work as original research when consulting for an outside organization, creating national standards for an accrediting organization, designing curricula for national or regional use, etc.  Documentation of professional activities may include written evaluations by peers or professional organizations.</w:t>
      </w:r>
    </w:p>
    <w:p w:rsidR="00942F77" w:rsidRPr="00896A11" w:rsidRDefault="00942F77" w:rsidP="00942F77">
      <w:pPr>
        <w:tabs>
          <w:tab w:val="left" w:pos="720"/>
        </w:tabs>
        <w:ind w:left="720" w:hanging="360"/>
        <w:jc w:val="both"/>
        <w:rPr>
          <w:rFonts w:ascii="Garamond" w:hAnsi="Garamond"/>
          <w:sz w:val="22"/>
        </w:rPr>
      </w:pPr>
    </w:p>
    <w:p w:rsidR="00942F77" w:rsidRDefault="00942F77" w:rsidP="00942F77">
      <w:pPr>
        <w:tabs>
          <w:tab w:val="left" w:pos="720"/>
        </w:tabs>
        <w:ind w:left="720" w:hanging="360"/>
        <w:jc w:val="both"/>
        <w:rPr>
          <w:rFonts w:ascii="Garamond" w:hAnsi="Garamond"/>
          <w:sz w:val="22"/>
        </w:rPr>
      </w:pPr>
      <w:r w:rsidRPr="00896A11">
        <w:rPr>
          <w:rFonts w:ascii="Garamond" w:hAnsi="Garamond"/>
          <w:sz w:val="22"/>
        </w:rPr>
        <w:t xml:space="preserve">4. </w:t>
      </w:r>
      <w:r>
        <w:rPr>
          <w:rFonts w:ascii="Garamond" w:hAnsi="Garamond"/>
          <w:sz w:val="22"/>
        </w:rPr>
        <w:tab/>
      </w:r>
      <w:r w:rsidRPr="005E3328">
        <w:rPr>
          <w:rFonts w:ascii="Garamond" w:hAnsi="Garamond"/>
          <w:b/>
          <w:sz w:val="22"/>
        </w:rPr>
        <w:t>Major Grant Application Preparation</w:t>
      </w:r>
      <w:r w:rsidRPr="00DE0C23">
        <w:rPr>
          <w:rFonts w:ascii="Garamond" w:hAnsi="Garamond"/>
          <w:i/>
          <w:sz w:val="22"/>
        </w:rPr>
        <w:t xml:space="preserve"> </w:t>
      </w:r>
    </w:p>
    <w:p w:rsidR="00942F77" w:rsidRPr="00896A11"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Preparation of applications for highly competitive, major grants (in support of scholarly, creative, or professional activities as described above) requiring extensive advance research and documentation.</w:t>
      </w:r>
    </w:p>
    <w:p w:rsidR="00942F77" w:rsidRDefault="00942F77" w:rsidP="00942F77">
      <w:pPr>
        <w:tabs>
          <w:tab w:val="left" w:pos="360"/>
        </w:tabs>
        <w:jc w:val="both"/>
        <w:rPr>
          <w:rFonts w:ascii="Garamond" w:hAnsi="Garamond"/>
          <w:b/>
          <w:smallCaps/>
        </w:rPr>
      </w:pPr>
    </w:p>
    <w:p w:rsidR="00AB5404" w:rsidRDefault="00AB5404" w:rsidP="00AB5404">
      <w:pPr>
        <w:rPr>
          <w:rFonts w:ascii="Garamond" w:hAnsi="Garamond"/>
          <w:b/>
          <w:smallCaps/>
        </w:rPr>
      </w:pPr>
      <w:r w:rsidRPr="0020452B">
        <w:rPr>
          <w:rFonts w:ascii="Garamond" w:hAnsi="Garamond"/>
          <w:b/>
          <w:smallCaps/>
        </w:rPr>
        <w:t xml:space="preserve">Institutional Review Board (IRB) and </w:t>
      </w:r>
    </w:p>
    <w:p w:rsidR="00AB5404" w:rsidRPr="0020452B" w:rsidRDefault="00AB5404" w:rsidP="00AB5404">
      <w:pPr>
        <w:tabs>
          <w:tab w:val="left" w:pos="360"/>
        </w:tabs>
        <w:jc w:val="both"/>
        <w:rPr>
          <w:rFonts w:ascii="Garamond" w:hAnsi="Garamond"/>
          <w:b/>
          <w:smallCaps/>
        </w:rPr>
      </w:pPr>
      <w:r w:rsidRPr="0020452B">
        <w:rPr>
          <w:rFonts w:ascii="Garamond" w:hAnsi="Garamond"/>
          <w:b/>
          <w:smallCaps/>
        </w:rPr>
        <w:t>Institutional Animal Care and Use Committee (IACUC) Approval</w:t>
      </w:r>
    </w:p>
    <w:p w:rsidR="00AB5404" w:rsidRPr="002D3826" w:rsidRDefault="00194244" w:rsidP="00AB5404">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85725</wp:posOffset>
                </wp:positionV>
                <wp:extent cx="6057900" cy="0"/>
                <wp:effectExtent l="9525" t="9525" r="9525" b="952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" strokecolor="#339"/>
            </w:pict>
          </mc:Fallback>
        </mc:AlternateContent>
      </w:r>
    </w:p>
    <w:p w:rsidR="00942F77" w:rsidRDefault="00942F77" w:rsidP="00942F77">
      <w:pPr>
        <w:jc w:val="both"/>
        <w:rPr>
          <w:rFonts w:ascii="Garamond" w:hAnsi="Garamond"/>
          <w:sz w:val="22"/>
        </w:rPr>
      </w:pPr>
      <w:r w:rsidRPr="006213B8">
        <w:rPr>
          <w:rFonts w:ascii="Garamond" w:hAnsi="Garamond"/>
          <w:sz w:val="22"/>
        </w:rPr>
        <w:t xml:space="preserve">Faculty members who are planning research involving </w:t>
      </w:r>
      <w:r>
        <w:rPr>
          <w:rFonts w:ascii="Garamond" w:hAnsi="Garamond"/>
          <w:sz w:val="22"/>
        </w:rPr>
        <w:t xml:space="preserve">either </w:t>
      </w:r>
      <w:r w:rsidRPr="006213B8">
        <w:rPr>
          <w:rFonts w:ascii="Garamond" w:hAnsi="Garamond"/>
          <w:sz w:val="22"/>
        </w:rPr>
        <w:t xml:space="preserve">human subjects or vertebrate animals must obtain approval from the Institutional Review Board (IRB) or the Institutional Animal Care and Use Committee (IACUC), respectively.  </w:t>
      </w:r>
    </w:p>
    <w:p w:rsidR="00942F77" w:rsidRPr="006213B8" w:rsidRDefault="00942F77" w:rsidP="00942F77">
      <w:pPr>
        <w:jc w:val="both"/>
        <w:rPr>
          <w:rFonts w:ascii="Garamond" w:hAnsi="Garamond"/>
          <w:sz w:val="22"/>
        </w:rPr>
      </w:pPr>
    </w:p>
    <w:p w:rsidR="00942F77" w:rsidRDefault="00942F77" w:rsidP="00942F77">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w:t>
      </w:r>
      <w:r w:rsidR="00FE61E0">
        <w:rPr>
          <w:rFonts w:ascii="Garamond" w:hAnsi="Garamond"/>
          <w:sz w:val="22"/>
        </w:rPr>
        <w:t>’</w:t>
      </w:r>
      <w:r>
        <w:rPr>
          <w:rFonts w:ascii="Garamond" w:hAnsi="Garamond"/>
          <w:sz w:val="22"/>
        </w:rPr>
        <w:t>s</w:t>
      </w:r>
      <w:r w:rsidRPr="006213B8">
        <w:rPr>
          <w:rFonts w:ascii="Garamond" w:hAnsi="Garamond"/>
          <w:sz w:val="22"/>
        </w:rPr>
        <w:t xml:space="preserve"> policies and procedures for IRB approval can be found at: </w:t>
      </w:r>
      <w:r>
        <w:rPr>
          <w:rFonts w:ascii="Garamond" w:hAnsi="Garamond"/>
          <w:sz w:val="22"/>
        </w:rPr>
        <w:t xml:space="preserve"> </w:t>
      </w:r>
      <w:hyperlink r:id="rId9" w:history="1">
        <w:r w:rsidRPr="00097471">
          <w:rPr>
            <w:rStyle w:val="Hyperlink"/>
            <w:rFonts w:ascii="Garamond" w:hAnsi="Garamond"/>
            <w:sz w:val="22"/>
          </w:rPr>
          <w:t>http://www.tcnj.edu/~irb/</w:t>
        </w:r>
      </w:hyperlink>
      <w:r>
        <w:rPr>
          <w:rFonts w:ascii="Garamond" w:hAnsi="Garamond"/>
          <w:sz w:val="22"/>
        </w:rPr>
        <w:t>.</w:t>
      </w:r>
    </w:p>
    <w:p w:rsidR="00942F77" w:rsidRPr="006213B8" w:rsidRDefault="00942F77" w:rsidP="00942F77">
      <w:pPr>
        <w:tabs>
          <w:tab w:val="left" w:pos="360"/>
          <w:tab w:val="left" w:pos="720"/>
        </w:tabs>
        <w:ind w:left="720" w:hanging="720"/>
        <w:jc w:val="both"/>
        <w:rPr>
          <w:rFonts w:ascii="Garamond" w:hAnsi="Garamond"/>
          <w:sz w:val="22"/>
        </w:rPr>
      </w:pPr>
    </w:p>
    <w:p w:rsidR="00942F77" w:rsidRDefault="00942F77" w:rsidP="00942F77">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w:t>
      </w:r>
      <w:r w:rsidR="00FE61E0">
        <w:rPr>
          <w:rFonts w:ascii="Garamond" w:hAnsi="Garamond"/>
          <w:sz w:val="22"/>
        </w:rPr>
        <w:t>’</w:t>
      </w:r>
      <w:r>
        <w:rPr>
          <w:rFonts w:ascii="Garamond" w:hAnsi="Garamond"/>
          <w:sz w:val="22"/>
        </w:rPr>
        <w:t>s</w:t>
      </w:r>
      <w:r w:rsidRPr="006213B8">
        <w:rPr>
          <w:rFonts w:ascii="Garamond" w:hAnsi="Garamond"/>
          <w:sz w:val="22"/>
        </w:rPr>
        <w:t xml:space="preserve"> policies and procedures for IACUC approval can be found at: </w:t>
      </w:r>
    </w:p>
    <w:p w:rsidR="00942F77" w:rsidRPr="006213B8" w:rsidRDefault="00942F77" w:rsidP="00942F77">
      <w:pPr>
        <w:tabs>
          <w:tab w:val="left" w:pos="360"/>
          <w:tab w:val="left" w:pos="720"/>
        </w:tabs>
        <w:ind w:left="720" w:hanging="720"/>
        <w:jc w:val="both"/>
        <w:rPr>
          <w:rFonts w:ascii="Garamond" w:hAnsi="Garamond"/>
          <w:sz w:val="22"/>
        </w:rPr>
      </w:pPr>
      <w:r>
        <w:rPr>
          <w:rFonts w:ascii="Garamond" w:hAnsi="Garamond"/>
          <w:sz w:val="22"/>
        </w:rPr>
        <w:tab/>
      </w:r>
      <w:r>
        <w:rPr>
          <w:rFonts w:ascii="Garamond" w:hAnsi="Garamond"/>
          <w:sz w:val="22"/>
        </w:rPr>
        <w:tab/>
      </w:r>
      <w:hyperlink r:id="rId10" w:history="1">
        <w:r w:rsidRPr="006213B8">
          <w:rPr>
            <w:rStyle w:val="Hyperlink"/>
            <w:rFonts w:ascii="Garamond" w:hAnsi="Garamond"/>
            <w:sz w:val="22"/>
          </w:rPr>
          <w:t>http://grants.intrasun.tcnj.edu/compliance/animal.html</w:t>
        </w:r>
      </w:hyperlink>
      <w:r>
        <w:rPr>
          <w:rFonts w:ascii="Garamond" w:hAnsi="Garamond"/>
          <w:sz w:val="22"/>
        </w:rPr>
        <w:t>.</w:t>
      </w:r>
    </w:p>
    <w:p w:rsidR="00942F77" w:rsidRDefault="00942F77" w:rsidP="00942F77">
      <w:pPr>
        <w:tabs>
          <w:tab w:val="left" w:pos="360"/>
        </w:tabs>
        <w:jc w:val="both"/>
        <w:rPr>
          <w:rFonts w:ascii="Garamond" w:hAnsi="Garamond"/>
          <w:b/>
          <w:smallCaps/>
        </w:rPr>
      </w:pPr>
    </w:p>
    <w:p w:rsidR="00AB5404" w:rsidRDefault="0040337F" w:rsidP="00AB5404">
      <w:pPr>
        <w:tabs>
          <w:tab w:val="left" w:pos="360"/>
        </w:tabs>
        <w:jc w:val="both"/>
        <w:rPr>
          <w:rFonts w:ascii="Garamond" w:hAnsi="Garamond"/>
          <w:b/>
          <w:sz w:val="22"/>
        </w:rPr>
      </w:pPr>
      <w:r>
        <w:rPr>
          <w:rFonts w:ascii="Garamond" w:hAnsi="Garamond"/>
          <w:b/>
          <w:smallCaps/>
        </w:rPr>
        <w:t xml:space="preserve">Proposal </w:t>
      </w:r>
      <w:r w:rsidR="00AB5404">
        <w:rPr>
          <w:rFonts w:ascii="Garamond" w:hAnsi="Garamond"/>
          <w:b/>
          <w:smallCaps/>
        </w:rPr>
        <w:t>Evaluat</w:t>
      </w:r>
      <w:r>
        <w:rPr>
          <w:rFonts w:ascii="Garamond" w:hAnsi="Garamond"/>
          <w:b/>
          <w:smallCaps/>
        </w:rPr>
        <w:t>ion</w:t>
      </w:r>
    </w:p>
    <w:p w:rsidR="00AB5404" w:rsidRPr="002D3826" w:rsidRDefault="00194244" w:rsidP="00AB5404">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42545</wp:posOffset>
                </wp:positionV>
                <wp:extent cx="5943600" cy="0"/>
                <wp:effectExtent l="9525" t="13970" r="9525" b="508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" strokecolor="#339"/>
            </w:pict>
          </mc:Fallback>
        </mc:AlternateContent>
      </w:r>
    </w:p>
    <w:p w:rsidR="00942F77" w:rsidRDefault="00942F77" w:rsidP="00194244">
      <w:pPr>
        <w:tabs>
          <w:tab w:val="left" w:pos="720"/>
        </w:tabs>
        <w:spacing w:beforeLines="1" w:before="2" w:afterLines="1" w:after="2"/>
        <w:ind w:firstLine="360"/>
        <w:jc w:val="both"/>
        <w:rPr>
          <w:rFonts w:ascii="Garamond" w:hAnsi="Garamond"/>
          <w:b/>
          <w:sz w:val="22"/>
        </w:rPr>
      </w:pPr>
      <w:r w:rsidRPr="00FE5EDD">
        <w:rPr>
          <w:rFonts w:ascii="Garamond" w:hAnsi="Garamond"/>
          <w:b/>
          <w:sz w:val="22"/>
        </w:rPr>
        <w:t xml:space="preserve">1. </w:t>
      </w:r>
      <w:r>
        <w:rPr>
          <w:rFonts w:ascii="Garamond" w:hAnsi="Garamond"/>
          <w:b/>
          <w:sz w:val="22"/>
        </w:rPr>
        <w:tab/>
      </w:r>
      <w:r w:rsidRPr="00FE5EDD">
        <w:rPr>
          <w:rFonts w:ascii="Garamond" w:hAnsi="Garamond"/>
          <w:b/>
          <w:sz w:val="22"/>
        </w:rPr>
        <w:t>Review Process</w:t>
      </w:r>
    </w:p>
    <w:p w:rsidR="004F5126" w:rsidRDefault="00942F77" w:rsidP="00194244">
      <w:pPr>
        <w:tabs>
          <w:tab w:val="left" w:pos="720"/>
        </w:tabs>
        <w:spacing w:beforeLines="1" w:before="2" w:afterLines="1" w:after="2"/>
        <w:ind w:left="720"/>
        <w:jc w:val="both"/>
        <w:rPr>
          <w:rFonts w:ascii="Garamond" w:hAnsi="Garamond"/>
          <w:sz w:val="22"/>
          <w:szCs w:val="20"/>
        </w:rPr>
      </w:pPr>
      <w:r w:rsidRPr="00FE5EDD">
        <w:rPr>
          <w:rFonts w:ascii="Garamond" w:hAnsi="Garamond"/>
          <w:sz w:val="22"/>
        </w:rPr>
        <w:t>Submitted proposals will be reviewed and evaluated by an interdisc</w:t>
      </w:r>
      <w:r>
        <w:rPr>
          <w:rFonts w:ascii="Garamond" w:hAnsi="Garamond"/>
          <w:sz w:val="22"/>
        </w:rPr>
        <w:t>iplinary SOSA Committee.</w:t>
      </w:r>
      <w:r w:rsidR="0071364D">
        <w:rPr>
          <w:rFonts w:ascii="Garamond" w:hAnsi="Garamond"/>
          <w:sz w:val="22"/>
        </w:rPr>
        <w:t xml:space="preserve"> </w:t>
      </w:r>
      <w:r>
        <w:rPr>
          <w:rFonts w:ascii="Garamond" w:hAnsi="Garamond"/>
          <w:sz w:val="22"/>
        </w:rPr>
        <w:t xml:space="preserve"> After a norming process to standardize approaches to scoring, c</w:t>
      </w:r>
      <w:r w:rsidRPr="00FE5EDD">
        <w:rPr>
          <w:rFonts w:ascii="Garamond" w:hAnsi="Garamond"/>
          <w:sz w:val="22"/>
        </w:rPr>
        <w:t xml:space="preserve">ommittee members will </w:t>
      </w:r>
      <w:r>
        <w:rPr>
          <w:rFonts w:ascii="Garamond" w:hAnsi="Garamond"/>
          <w:sz w:val="22"/>
        </w:rPr>
        <w:t xml:space="preserve">split into two </w:t>
      </w:r>
      <w:r w:rsidR="00914165">
        <w:rPr>
          <w:rFonts w:ascii="Garamond" w:hAnsi="Garamond"/>
          <w:sz w:val="22"/>
        </w:rPr>
        <w:t>panel</w:t>
      </w:r>
      <w:r>
        <w:rPr>
          <w:rFonts w:ascii="Garamond" w:hAnsi="Garamond"/>
          <w:sz w:val="22"/>
        </w:rPr>
        <w:t xml:space="preserve">s to </w:t>
      </w:r>
      <w:r w:rsidRPr="00FE5EDD">
        <w:rPr>
          <w:rFonts w:ascii="Garamond" w:hAnsi="Garamond"/>
          <w:sz w:val="22"/>
        </w:rPr>
        <w:t>evaluate proposals using the review criteria listed below.</w:t>
      </w:r>
      <w:r w:rsidRPr="00FE5EDD">
        <w:rPr>
          <w:rFonts w:ascii="Garamond" w:hAnsi="Garamond"/>
          <w:sz w:val="22"/>
          <w:szCs w:val="20"/>
        </w:rPr>
        <w:t xml:space="preserve">  </w:t>
      </w:r>
      <w:r w:rsidRPr="00FE5EDD">
        <w:rPr>
          <w:rFonts w:ascii="Garamond" w:hAnsi="Garamond"/>
          <w:sz w:val="22"/>
        </w:rPr>
        <w:t xml:space="preserve">The </w:t>
      </w:r>
      <w:r>
        <w:rPr>
          <w:rFonts w:ascii="Garamond" w:hAnsi="Garamond"/>
          <w:sz w:val="22"/>
        </w:rPr>
        <w:t xml:space="preserve">full </w:t>
      </w:r>
      <w:r w:rsidRPr="00FE5EDD">
        <w:rPr>
          <w:rFonts w:ascii="Garamond" w:hAnsi="Garamond"/>
          <w:sz w:val="22"/>
        </w:rPr>
        <w:t xml:space="preserve">Committee </w:t>
      </w:r>
      <w:r>
        <w:rPr>
          <w:rFonts w:ascii="Garamond" w:hAnsi="Garamond"/>
          <w:sz w:val="22"/>
        </w:rPr>
        <w:t>will consist of</w:t>
      </w:r>
      <w:r w:rsidRPr="007E47B9">
        <w:rPr>
          <w:rFonts w:ascii="Garamond" w:hAnsi="Garamond"/>
          <w:sz w:val="22"/>
        </w:rPr>
        <w:t xml:space="preserve"> </w:t>
      </w:r>
      <w:r>
        <w:rPr>
          <w:rFonts w:ascii="Garamond" w:hAnsi="Garamond"/>
          <w:sz w:val="22"/>
          <w:szCs w:val="20"/>
        </w:rPr>
        <w:t>11 members, with representatives from the following units:</w:t>
      </w:r>
    </w:p>
    <w:p w:rsidR="00942F77" w:rsidRDefault="00942F77" w:rsidP="00194244">
      <w:pPr>
        <w:tabs>
          <w:tab w:val="left" w:pos="720"/>
        </w:tabs>
        <w:spacing w:beforeLines="1" w:before="2" w:afterLines="1" w:after="2"/>
        <w:ind w:left="720"/>
        <w:jc w:val="both"/>
        <w:rPr>
          <w:rFonts w:ascii="Garamond" w:hAnsi="Garamond"/>
          <w:sz w:val="22"/>
          <w:szCs w:val="20"/>
        </w:rPr>
      </w:pPr>
    </w:p>
    <w:p w:rsidR="00942F77" w:rsidRDefault="00942F77"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 xml:space="preserve">One person from each of the following schools: </w:t>
      </w:r>
      <w:r w:rsidRPr="007E47B9">
        <w:rPr>
          <w:rFonts w:ascii="Garamond" w:hAnsi="Garamond"/>
          <w:sz w:val="22"/>
          <w:szCs w:val="20"/>
        </w:rPr>
        <w:t>Arts and Communication, Business, Education, Engineering, Nursing and HES</w:t>
      </w:r>
      <w:r>
        <w:rPr>
          <w:rFonts w:ascii="Garamond" w:hAnsi="Garamond"/>
          <w:sz w:val="22"/>
          <w:szCs w:val="20"/>
        </w:rPr>
        <w:t xml:space="preserve"> (total of 5)</w:t>
      </w:r>
    </w:p>
    <w:p w:rsidR="00942F77" w:rsidRDefault="00942F77"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Humanities and Social Sciences (one from Humanities, one from Social Sciences)</w:t>
      </w:r>
    </w:p>
    <w:p w:rsidR="00942F77" w:rsidRDefault="00942F77"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Science (one from Math/Computer Science, one from Biology/Chemistry/Physics)</w:t>
      </w:r>
    </w:p>
    <w:p w:rsidR="00942F77" w:rsidRDefault="00942F77"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person from the Library</w:t>
      </w:r>
    </w:p>
    <w:p w:rsidR="00942F77" w:rsidRDefault="00942F77"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designee from the Provost (ex officio</w:t>
      </w:r>
      <w:r w:rsidR="001B3764">
        <w:rPr>
          <w:rFonts w:ascii="Garamond" w:hAnsi="Garamond"/>
          <w:sz w:val="22"/>
          <w:szCs w:val="20"/>
        </w:rPr>
        <w:t>, non-voting</w:t>
      </w:r>
      <w:r>
        <w:rPr>
          <w:rFonts w:ascii="Garamond" w:hAnsi="Garamond"/>
          <w:sz w:val="22"/>
          <w:szCs w:val="20"/>
        </w:rPr>
        <w:t>)</w:t>
      </w:r>
    </w:p>
    <w:p w:rsidR="00942F77" w:rsidRDefault="00942F77" w:rsidP="00194244">
      <w:pPr>
        <w:tabs>
          <w:tab w:val="left" w:pos="720"/>
        </w:tabs>
        <w:spacing w:beforeLines="1" w:before="2" w:afterLines="1" w:after="2"/>
        <w:jc w:val="both"/>
        <w:rPr>
          <w:rFonts w:ascii="Garamond" w:hAnsi="Garamond"/>
          <w:sz w:val="22"/>
          <w:szCs w:val="20"/>
        </w:rPr>
      </w:pPr>
      <w:r>
        <w:rPr>
          <w:rFonts w:ascii="Garamond" w:hAnsi="Garamond"/>
          <w:sz w:val="22"/>
          <w:szCs w:val="20"/>
        </w:rPr>
        <w:tab/>
      </w:r>
    </w:p>
    <w:p w:rsidR="005E47DE" w:rsidRDefault="00942F77" w:rsidP="0019424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Each </w:t>
      </w:r>
      <w:r w:rsidR="00914165">
        <w:rPr>
          <w:rFonts w:ascii="Garamond" w:hAnsi="Garamond"/>
          <w:sz w:val="22"/>
          <w:szCs w:val="20"/>
        </w:rPr>
        <w:t>panel</w:t>
      </w:r>
      <w:r>
        <w:rPr>
          <w:rFonts w:ascii="Garamond" w:hAnsi="Garamond"/>
          <w:sz w:val="22"/>
          <w:szCs w:val="20"/>
        </w:rPr>
        <w:t xml:space="preserve"> will consist of </w:t>
      </w:r>
      <w:r w:rsidR="00955A72">
        <w:rPr>
          <w:rFonts w:ascii="Garamond" w:hAnsi="Garamond"/>
          <w:sz w:val="22"/>
          <w:szCs w:val="20"/>
        </w:rPr>
        <w:t>6</w:t>
      </w:r>
      <w:r>
        <w:rPr>
          <w:rFonts w:ascii="Garamond" w:hAnsi="Garamond"/>
          <w:sz w:val="22"/>
          <w:szCs w:val="20"/>
        </w:rPr>
        <w:t xml:space="preserve"> people, with the Provost</w:t>
      </w:r>
      <w:r w:rsidR="00FE61E0">
        <w:rPr>
          <w:rFonts w:ascii="Garamond" w:hAnsi="Garamond"/>
          <w:sz w:val="22"/>
          <w:szCs w:val="20"/>
        </w:rPr>
        <w:t>’</w:t>
      </w:r>
      <w:r>
        <w:rPr>
          <w:rFonts w:ascii="Garamond" w:hAnsi="Garamond"/>
          <w:sz w:val="22"/>
          <w:szCs w:val="20"/>
        </w:rPr>
        <w:t xml:space="preserve">s Designee sitting on both. The composition of each </w:t>
      </w:r>
      <w:r w:rsidR="00914165">
        <w:rPr>
          <w:rFonts w:ascii="Garamond" w:hAnsi="Garamond"/>
          <w:sz w:val="22"/>
          <w:szCs w:val="20"/>
        </w:rPr>
        <w:t>panel</w:t>
      </w:r>
      <w:r>
        <w:rPr>
          <w:rFonts w:ascii="Garamond" w:hAnsi="Garamond"/>
          <w:sz w:val="22"/>
          <w:szCs w:val="20"/>
        </w:rPr>
        <w:t xml:space="preserve"> will be determined by the</w:t>
      </w:r>
      <w:r w:rsidR="0071364D">
        <w:rPr>
          <w:rFonts w:ascii="Garamond" w:hAnsi="Garamond"/>
          <w:sz w:val="22"/>
          <w:szCs w:val="20"/>
        </w:rPr>
        <w:t xml:space="preserve"> full</w:t>
      </w:r>
      <w:r>
        <w:rPr>
          <w:rFonts w:ascii="Garamond" w:hAnsi="Garamond"/>
          <w:sz w:val="22"/>
          <w:szCs w:val="20"/>
        </w:rPr>
        <w:t xml:space="preserve"> SOSA Committee itself as it organizes for work each year. </w:t>
      </w:r>
      <w:r w:rsidR="0071364D">
        <w:rPr>
          <w:rFonts w:ascii="Garamond" w:hAnsi="Garamond"/>
          <w:sz w:val="22"/>
          <w:szCs w:val="20"/>
        </w:rPr>
        <w:t xml:space="preserve"> </w:t>
      </w:r>
      <w:r>
        <w:rPr>
          <w:rFonts w:ascii="Garamond" w:hAnsi="Garamond"/>
          <w:sz w:val="22"/>
          <w:szCs w:val="20"/>
        </w:rPr>
        <w:t xml:space="preserve">Each </w:t>
      </w:r>
      <w:r w:rsidR="00914165">
        <w:rPr>
          <w:rFonts w:ascii="Garamond" w:hAnsi="Garamond"/>
          <w:sz w:val="22"/>
          <w:szCs w:val="20"/>
        </w:rPr>
        <w:t>panel</w:t>
      </w:r>
      <w:r>
        <w:rPr>
          <w:rFonts w:ascii="Garamond" w:hAnsi="Garamond"/>
          <w:sz w:val="22"/>
          <w:szCs w:val="20"/>
        </w:rPr>
        <w:t xml:space="preserve"> will elect its own chair, who does not necessarily have to be the same person as the chair of the full SOSA Committee. </w:t>
      </w:r>
    </w:p>
    <w:p w:rsidR="005E47DE" w:rsidRDefault="005E47DE" w:rsidP="00194244">
      <w:pPr>
        <w:tabs>
          <w:tab w:val="left" w:pos="720"/>
        </w:tabs>
        <w:spacing w:beforeLines="1" w:before="2" w:afterLines="1" w:after="2"/>
        <w:ind w:left="720"/>
        <w:jc w:val="both"/>
        <w:rPr>
          <w:rFonts w:ascii="Garamond" w:hAnsi="Garamond"/>
          <w:sz w:val="22"/>
          <w:szCs w:val="20"/>
        </w:rPr>
      </w:pPr>
    </w:p>
    <w:p w:rsidR="005E47DE" w:rsidRDefault="005E47DE" w:rsidP="0019424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when proposals are discussed and reviewed by </w:t>
      </w:r>
      <w:r w:rsidR="00914165">
        <w:rPr>
          <w:rFonts w:ascii="Garamond" w:hAnsi="Garamond"/>
          <w:sz w:val="22"/>
          <w:szCs w:val="20"/>
        </w:rPr>
        <w:t>panel</w:t>
      </w:r>
      <w:r>
        <w:rPr>
          <w:rFonts w:ascii="Garamond" w:hAnsi="Garamond"/>
          <w:sz w:val="22"/>
          <w:szCs w:val="20"/>
        </w:rPr>
        <w:t xml:space="preserve">s and the full SOSA Committee, individual committee members must not introduce any outside evidence or </w:t>
      </w:r>
      <w:r w:rsidR="0071364D">
        <w:rPr>
          <w:rFonts w:ascii="Garamond" w:hAnsi="Garamond"/>
          <w:sz w:val="22"/>
          <w:szCs w:val="20"/>
        </w:rPr>
        <w:t xml:space="preserve">other </w:t>
      </w:r>
      <w:r>
        <w:rPr>
          <w:rFonts w:ascii="Garamond" w:hAnsi="Garamond"/>
          <w:sz w:val="22"/>
          <w:szCs w:val="20"/>
        </w:rPr>
        <w:t xml:space="preserve">information that is not included in the submitted proposals.  Moreover, individual committee </w:t>
      </w:r>
      <w:r>
        <w:rPr>
          <w:rFonts w:ascii="Garamond" w:hAnsi="Garamond"/>
          <w:sz w:val="22"/>
          <w:szCs w:val="20"/>
        </w:rPr>
        <w:lastRenderedPageBreak/>
        <w:t>members must not advocate for any of the submitted proposals.  Th</w:t>
      </w:r>
      <w:r w:rsidR="006A27B0">
        <w:rPr>
          <w:rFonts w:ascii="Garamond" w:hAnsi="Garamond"/>
          <w:sz w:val="22"/>
          <w:szCs w:val="20"/>
        </w:rPr>
        <w:t>is is</w:t>
      </w:r>
      <w:r w:rsidR="00914165">
        <w:rPr>
          <w:rFonts w:ascii="Garamond" w:hAnsi="Garamond"/>
          <w:sz w:val="22"/>
          <w:szCs w:val="20"/>
        </w:rPr>
        <w:t xml:space="preserve"> </w:t>
      </w:r>
      <w:r>
        <w:rPr>
          <w:rFonts w:ascii="Garamond" w:hAnsi="Garamond"/>
          <w:sz w:val="22"/>
          <w:szCs w:val="20"/>
        </w:rPr>
        <w:t>particu</w:t>
      </w:r>
      <w:r w:rsidR="0071364D">
        <w:rPr>
          <w:rFonts w:ascii="Garamond" w:hAnsi="Garamond"/>
          <w:sz w:val="22"/>
          <w:szCs w:val="20"/>
        </w:rPr>
        <w:t>larly important for proposals from</w:t>
      </w:r>
      <w:r>
        <w:rPr>
          <w:rFonts w:ascii="Garamond" w:hAnsi="Garamond"/>
          <w:sz w:val="22"/>
          <w:szCs w:val="20"/>
        </w:rPr>
        <w:t xml:space="preserve"> the same discipline or general area of the SOSA Committee members.</w:t>
      </w:r>
    </w:p>
    <w:p w:rsidR="005E47DE" w:rsidRDefault="005E47DE" w:rsidP="00194244">
      <w:pPr>
        <w:tabs>
          <w:tab w:val="left" w:pos="720"/>
        </w:tabs>
        <w:spacing w:beforeLines="1" w:before="2" w:afterLines="1" w:after="2"/>
        <w:ind w:left="720"/>
        <w:jc w:val="both"/>
        <w:rPr>
          <w:rFonts w:ascii="Garamond" w:hAnsi="Garamond"/>
          <w:sz w:val="22"/>
          <w:szCs w:val="20"/>
        </w:rPr>
      </w:pPr>
    </w:p>
    <w:p w:rsidR="005E47DE" w:rsidRDefault="005E47DE" w:rsidP="0019424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for proposals submitted by SOSA Committee members, these </w:t>
      </w:r>
      <w:r w:rsidR="0071364D">
        <w:rPr>
          <w:rFonts w:ascii="Garamond" w:hAnsi="Garamond"/>
          <w:sz w:val="22"/>
          <w:szCs w:val="20"/>
        </w:rPr>
        <w:t xml:space="preserve">proposals </w:t>
      </w:r>
      <w:r>
        <w:rPr>
          <w:rFonts w:ascii="Garamond" w:hAnsi="Garamond"/>
          <w:sz w:val="22"/>
          <w:szCs w:val="20"/>
        </w:rPr>
        <w:t xml:space="preserve">will be directed </w:t>
      </w:r>
      <w:r w:rsidR="0071364D">
        <w:rPr>
          <w:rFonts w:ascii="Garamond" w:hAnsi="Garamond"/>
          <w:sz w:val="22"/>
          <w:szCs w:val="20"/>
        </w:rPr>
        <w:t xml:space="preserve">to </w:t>
      </w:r>
      <w:r>
        <w:rPr>
          <w:rFonts w:ascii="Garamond" w:hAnsi="Garamond"/>
          <w:sz w:val="22"/>
          <w:szCs w:val="20"/>
        </w:rPr>
        <w:t xml:space="preserve">and reviewed by the </w:t>
      </w:r>
      <w:r w:rsidR="00914165">
        <w:rPr>
          <w:rFonts w:ascii="Garamond" w:hAnsi="Garamond"/>
          <w:sz w:val="22"/>
          <w:szCs w:val="20"/>
        </w:rPr>
        <w:t>panel</w:t>
      </w:r>
      <w:r w:rsidR="0071364D">
        <w:rPr>
          <w:rFonts w:ascii="Garamond" w:hAnsi="Garamond"/>
          <w:sz w:val="22"/>
          <w:szCs w:val="20"/>
        </w:rPr>
        <w:t xml:space="preserve"> on which the Committee member</w:t>
      </w:r>
      <w:r>
        <w:rPr>
          <w:rFonts w:ascii="Garamond" w:hAnsi="Garamond"/>
          <w:sz w:val="22"/>
          <w:szCs w:val="20"/>
        </w:rPr>
        <w:t xml:space="preserve"> does not serve, so that no one</w:t>
      </w:r>
      <w:r w:rsidR="0071364D">
        <w:rPr>
          <w:rFonts w:ascii="Garamond" w:hAnsi="Garamond"/>
          <w:sz w:val="22"/>
          <w:szCs w:val="20"/>
        </w:rPr>
        <w:t xml:space="preserve"> reviews his/her own proposal</w:t>
      </w:r>
      <w:r>
        <w:rPr>
          <w:rFonts w:ascii="Garamond" w:hAnsi="Garamond"/>
          <w:sz w:val="22"/>
          <w:szCs w:val="20"/>
        </w:rPr>
        <w:t xml:space="preserve">. </w:t>
      </w:r>
    </w:p>
    <w:p w:rsidR="005E47DE" w:rsidRDefault="005E47DE" w:rsidP="00194244">
      <w:pPr>
        <w:tabs>
          <w:tab w:val="left" w:pos="720"/>
        </w:tabs>
        <w:spacing w:beforeLines="1" w:before="2" w:afterLines="1" w:after="2"/>
        <w:ind w:left="720"/>
        <w:jc w:val="both"/>
        <w:rPr>
          <w:rFonts w:ascii="Garamond" w:hAnsi="Garamond"/>
          <w:sz w:val="22"/>
          <w:szCs w:val="20"/>
        </w:rPr>
      </w:pPr>
    </w:p>
    <w:p w:rsidR="00E44A48" w:rsidRDefault="00E44A48" w:rsidP="00194244">
      <w:pPr>
        <w:tabs>
          <w:tab w:val="left" w:pos="540"/>
        </w:tabs>
        <w:spacing w:beforeLines="1" w:before="2" w:afterLines="1" w:after="2"/>
        <w:ind w:left="360"/>
        <w:jc w:val="both"/>
        <w:rPr>
          <w:rFonts w:ascii="Garamond" w:hAnsi="Garamond"/>
          <w:b/>
          <w:sz w:val="22"/>
          <w:szCs w:val="20"/>
        </w:rPr>
      </w:pPr>
      <w:r>
        <w:rPr>
          <w:rFonts w:ascii="Garamond" w:hAnsi="Garamond"/>
          <w:b/>
          <w:sz w:val="22"/>
          <w:szCs w:val="20"/>
        </w:rPr>
        <w:t>2.</w:t>
      </w:r>
      <w:r>
        <w:rPr>
          <w:rFonts w:ascii="Garamond" w:hAnsi="Garamond"/>
          <w:b/>
          <w:sz w:val="22"/>
          <w:szCs w:val="20"/>
        </w:rPr>
        <w:tab/>
      </w:r>
      <w:r>
        <w:rPr>
          <w:rFonts w:ascii="Garamond" w:hAnsi="Garamond"/>
          <w:b/>
          <w:sz w:val="22"/>
          <w:szCs w:val="20"/>
        </w:rPr>
        <w:tab/>
        <w:t>Review P</w:t>
      </w:r>
      <w:r w:rsidRPr="005E47DE">
        <w:rPr>
          <w:rFonts w:ascii="Garamond" w:hAnsi="Garamond"/>
          <w:b/>
          <w:sz w:val="22"/>
          <w:szCs w:val="20"/>
        </w:rPr>
        <w:t>rocedures</w:t>
      </w:r>
    </w:p>
    <w:p w:rsidR="00E44A48" w:rsidRDefault="00E44A48" w:rsidP="00194244">
      <w:pPr>
        <w:tabs>
          <w:tab w:val="left" w:pos="720"/>
        </w:tabs>
        <w:spacing w:beforeLines="1" w:before="2" w:afterLines="1" w:after="2"/>
        <w:ind w:left="360"/>
        <w:jc w:val="both"/>
        <w:rPr>
          <w:rFonts w:ascii="Garamond" w:hAnsi="Garamond"/>
          <w:sz w:val="22"/>
          <w:szCs w:val="20"/>
        </w:rPr>
      </w:pPr>
      <w:r>
        <w:rPr>
          <w:rFonts w:ascii="Garamond" w:hAnsi="Garamond"/>
          <w:b/>
          <w:sz w:val="22"/>
          <w:szCs w:val="20"/>
        </w:rPr>
        <w:tab/>
      </w:r>
      <w:r>
        <w:rPr>
          <w:rFonts w:ascii="Garamond" w:hAnsi="Garamond"/>
          <w:sz w:val="22"/>
          <w:szCs w:val="20"/>
        </w:rPr>
        <w:t xml:space="preserve">The SOSA Committee will follow the major steps listed below in its review of proposals. </w:t>
      </w:r>
    </w:p>
    <w:p w:rsidR="00E44A48" w:rsidRPr="005E47DE" w:rsidRDefault="00E44A48" w:rsidP="00194244">
      <w:pPr>
        <w:tabs>
          <w:tab w:val="left" w:pos="720"/>
        </w:tabs>
        <w:spacing w:beforeLines="1" w:before="2" w:afterLines="1" w:after="2"/>
        <w:ind w:left="360"/>
        <w:jc w:val="both"/>
        <w:rPr>
          <w:rFonts w:ascii="Garamond" w:hAnsi="Garamond"/>
          <w:sz w:val="22"/>
          <w:szCs w:val="20"/>
        </w:rPr>
      </w:pPr>
    </w:p>
    <w:p w:rsidR="00E44A48" w:rsidRDefault="00E44A48" w:rsidP="0019424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The full</w:t>
      </w:r>
      <w:r w:rsidRPr="00830B8E">
        <w:rPr>
          <w:rFonts w:ascii="Garamond" w:hAnsi="Garamond"/>
          <w:sz w:val="22"/>
          <w:szCs w:val="20"/>
        </w:rPr>
        <w:t xml:space="preserve"> Committee will</w:t>
      </w:r>
      <w:r>
        <w:rPr>
          <w:rFonts w:ascii="Garamond" w:hAnsi="Garamond"/>
          <w:sz w:val="22"/>
          <w:szCs w:val="20"/>
        </w:rPr>
        <w:t xml:space="preserve"> initially engage in a proposal norming step.  The full Committee will</w:t>
      </w:r>
      <w:r w:rsidRPr="00830B8E">
        <w:rPr>
          <w:rFonts w:ascii="Garamond" w:hAnsi="Garamond"/>
          <w:sz w:val="22"/>
          <w:szCs w:val="20"/>
        </w:rPr>
        <w:t xml:space="preserve"> </w:t>
      </w:r>
      <w:r>
        <w:rPr>
          <w:rFonts w:ascii="Garamond" w:hAnsi="Garamond"/>
          <w:sz w:val="22"/>
          <w:szCs w:val="20"/>
        </w:rPr>
        <w:t xml:space="preserve">first </w:t>
      </w:r>
      <w:r w:rsidRPr="00830B8E">
        <w:rPr>
          <w:rFonts w:ascii="Garamond" w:hAnsi="Garamond"/>
          <w:sz w:val="22"/>
          <w:szCs w:val="20"/>
        </w:rPr>
        <w:t xml:space="preserve">discuss how to </w:t>
      </w:r>
      <w:r>
        <w:rPr>
          <w:rFonts w:ascii="Garamond" w:hAnsi="Garamond"/>
          <w:sz w:val="22"/>
          <w:szCs w:val="20"/>
        </w:rPr>
        <w:t xml:space="preserve">use and </w:t>
      </w:r>
      <w:r w:rsidRPr="00830B8E">
        <w:rPr>
          <w:rFonts w:ascii="Garamond" w:hAnsi="Garamond"/>
          <w:sz w:val="22"/>
          <w:szCs w:val="20"/>
        </w:rPr>
        <w:t xml:space="preserve">apply the </w:t>
      </w:r>
      <w:r>
        <w:rPr>
          <w:rFonts w:ascii="Garamond" w:hAnsi="Garamond"/>
          <w:sz w:val="22"/>
          <w:szCs w:val="20"/>
        </w:rPr>
        <w:t>evaluation rubric.  The full Committee will</w:t>
      </w:r>
      <w:r w:rsidRPr="00830B8E">
        <w:rPr>
          <w:rFonts w:ascii="Garamond" w:hAnsi="Garamond"/>
          <w:sz w:val="22"/>
          <w:szCs w:val="20"/>
        </w:rPr>
        <w:t xml:space="preserve"> </w:t>
      </w:r>
      <w:r>
        <w:rPr>
          <w:rFonts w:ascii="Garamond" w:hAnsi="Garamond"/>
          <w:sz w:val="22"/>
          <w:szCs w:val="20"/>
        </w:rPr>
        <w:t xml:space="preserve">then </w:t>
      </w:r>
      <w:r w:rsidRPr="00830B8E">
        <w:rPr>
          <w:rFonts w:ascii="Garamond" w:hAnsi="Garamond"/>
          <w:sz w:val="22"/>
          <w:szCs w:val="20"/>
        </w:rPr>
        <w:t xml:space="preserve">review </w:t>
      </w:r>
      <w:r>
        <w:rPr>
          <w:rFonts w:ascii="Garamond" w:hAnsi="Garamond"/>
          <w:sz w:val="22"/>
          <w:szCs w:val="20"/>
        </w:rPr>
        <w:t>several example</w:t>
      </w:r>
      <w:r w:rsidRPr="00830B8E">
        <w:rPr>
          <w:rFonts w:ascii="Garamond" w:hAnsi="Garamond"/>
          <w:sz w:val="22"/>
          <w:szCs w:val="20"/>
        </w:rPr>
        <w:t xml:space="preserve"> proposal</w:t>
      </w:r>
      <w:r>
        <w:rPr>
          <w:rFonts w:ascii="Garamond" w:hAnsi="Garamond"/>
          <w:sz w:val="22"/>
          <w:szCs w:val="20"/>
        </w:rPr>
        <w:t>s, with each individual Committee member independently reviewing each example proposal using the evaluation rubric to assign scores.  The Chair will then compile the scores, and the full Committee will discuss the proposals, the range of scores, and the use of the rubric.  This norming step is designed</w:t>
      </w:r>
      <w:r w:rsidRPr="00830B8E">
        <w:rPr>
          <w:rFonts w:ascii="Garamond" w:hAnsi="Garamond"/>
          <w:sz w:val="22"/>
          <w:szCs w:val="20"/>
        </w:rPr>
        <w:t xml:space="preserve"> to </w:t>
      </w:r>
      <w:r>
        <w:rPr>
          <w:rFonts w:ascii="Garamond" w:hAnsi="Garamond"/>
          <w:sz w:val="22"/>
        </w:rPr>
        <w:t>standardize approaches to scoring</w:t>
      </w:r>
      <w:r>
        <w:rPr>
          <w:rFonts w:ascii="Garamond" w:hAnsi="Garamond"/>
          <w:sz w:val="22"/>
          <w:szCs w:val="20"/>
        </w:rPr>
        <w:t>, establish consistency in scoring between and among reviewers, and ensure a fair and transparent evaluation process.</w:t>
      </w:r>
    </w:p>
    <w:p w:rsidR="00E44A48" w:rsidRPr="00E44A48" w:rsidRDefault="00E44A48" w:rsidP="00194244">
      <w:pPr>
        <w:tabs>
          <w:tab w:val="left" w:pos="720"/>
        </w:tabs>
        <w:spacing w:beforeLines="1" w:before="2" w:afterLines="1" w:after="2"/>
        <w:ind w:left="720"/>
        <w:jc w:val="both"/>
        <w:rPr>
          <w:rFonts w:ascii="Garamond" w:hAnsi="Garamond"/>
          <w:sz w:val="22"/>
          <w:szCs w:val="20"/>
        </w:rPr>
      </w:pPr>
    </w:p>
    <w:p w:rsidR="00E44A48" w:rsidRPr="00E44A48" w:rsidRDefault="00E44A48" w:rsidP="0019424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 xml:space="preserve">The full Committee will divide into two </w:t>
      </w:r>
      <w:r w:rsidR="00914165">
        <w:rPr>
          <w:rFonts w:ascii="Garamond" w:hAnsi="Garamond"/>
          <w:sz w:val="22"/>
          <w:szCs w:val="20"/>
        </w:rPr>
        <w:t>panel</w:t>
      </w:r>
      <w:r>
        <w:rPr>
          <w:rFonts w:ascii="Garamond" w:hAnsi="Garamond"/>
          <w:sz w:val="22"/>
          <w:szCs w:val="20"/>
        </w:rPr>
        <w:t xml:space="preserve">s, with each </w:t>
      </w:r>
      <w:r w:rsidR="00914165">
        <w:rPr>
          <w:rFonts w:ascii="Garamond" w:hAnsi="Garamond"/>
          <w:sz w:val="22"/>
          <w:szCs w:val="20"/>
        </w:rPr>
        <w:t>panel</w:t>
      </w:r>
      <w:r>
        <w:rPr>
          <w:rFonts w:ascii="Garamond" w:hAnsi="Garamond"/>
          <w:sz w:val="22"/>
          <w:szCs w:val="20"/>
        </w:rPr>
        <w:t xml:space="preserve"> reviewing approximately half of the proposals.  Individual </w:t>
      </w:r>
      <w:r w:rsidR="00914165">
        <w:rPr>
          <w:rFonts w:ascii="Garamond" w:hAnsi="Garamond"/>
          <w:sz w:val="22"/>
          <w:szCs w:val="20"/>
        </w:rPr>
        <w:t>panel</w:t>
      </w:r>
      <w:r>
        <w:rPr>
          <w:rFonts w:ascii="Garamond" w:hAnsi="Garamond"/>
          <w:sz w:val="22"/>
          <w:szCs w:val="20"/>
        </w:rPr>
        <w:t xml:space="preserve"> members will assign preliminary scores to each proposal using the evaluation rubric.</w:t>
      </w:r>
      <w:r w:rsidR="008A35B4">
        <w:rPr>
          <w:rFonts w:ascii="Garamond" w:hAnsi="Garamond"/>
          <w:sz w:val="22"/>
          <w:szCs w:val="20"/>
        </w:rPr>
        <w:t xml:space="preserve"> </w:t>
      </w:r>
      <w:r>
        <w:rPr>
          <w:rFonts w:ascii="Garamond" w:hAnsi="Garamond"/>
          <w:sz w:val="22"/>
          <w:szCs w:val="20"/>
        </w:rPr>
        <w:t xml:space="preserve"> Each </w:t>
      </w:r>
      <w:r w:rsidR="00914165">
        <w:rPr>
          <w:rFonts w:ascii="Garamond" w:hAnsi="Garamond"/>
          <w:sz w:val="22"/>
          <w:szCs w:val="20"/>
        </w:rPr>
        <w:t>panel</w:t>
      </w:r>
      <w:r>
        <w:rPr>
          <w:rFonts w:ascii="Garamond" w:hAnsi="Garamond"/>
          <w:sz w:val="22"/>
          <w:szCs w:val="20"/>
        </w:rPr>
        <w:t xml:space="preserve"> chair will compile a summary spreadsheet of the preliminary scores, and each </w:t>
      </w:r>
      <w:r w:rsidR="00914165">
        <w:rPr>
          <w:rFonts w:ascii="Garamond" w:hAnsi="Garamond"/>
          <w:sz w:val="22"/>
          <w:szCs w:val="20"/>
        </w:rPr>
        <w:t>panel</w:t>
      </w:r>
      <w:r>
        <w:rPr>
          <w:rFonts w:ascii="Garamond" w:hAnsi="Garamond"/>
          <w:sz w:val="22"/>
          <w:szCs w:val="20"/>
        </w:rPr>
        <w:t xml:space="preserve"> </w:t>
      </w:r>
      <w:r w:rsidR="0040337F">
        <w:rPr>
          <w:rFonts w:ascii="Garamond" w:hAnsi="Garamond"/>
          <w:sz w:val="22"/>
          <w:szCs w:val="20"/>
        </w:rPr>
        <w:t>will</w:t>
      </w:r>
      <w:r w:rsidR="004650E9">
        <w:rPr>
          <w:rFonts w:ascii="Garamond" w:hAnsi="Garamond"/>
          <w:sz w:val="22"/>
          <w:szCs w:val="20"/>
        </w:rPr>
        <w:t xml:space="preserve"> </w:t>
      </w:r>
      <w:r>
        <w:rPr>
          <w:rFonts w:ascii="Garamond" w:hAnsi="Garamond"/>
          <w:sz w:val="22"/>
          <w:szCs w:val="20"/>
        </w:rPr>
        <w:t xml:space="preserve">meet to review and discuss the proposals. </w:t>
      </w:r>
      <w:r w:rsidR="008A35B4">
        <w:rPr>
          <w:rFonts w:ascii="Garamond" w:hAnsi="Garamond"/>
          <w:sz w:val="22"/>
          <w:szCs w:val="20"/>
        </w:rPr>
        <w:t xml:space="preserve"> </w:t>
      </w:r>
      <w:r w:rsidR="004650E9">
        <w:rPr>
          <w:rFonts w:ascii="Garamond" w:hAnsi="Garamond"/>
          <w:sz w:val="22"/>
          <w:szCs w:val="20"/>
        </w:rPr>
        <w:t>A</w:t>
      </w:r>
      <w:r w:rsidR="0040337F">
        <w:rPr>
          <w:rFonts w:ascii="Garamond" w:hAnsi="Garamond"/>
          <w:sz w:val="22"/>
          <w:szCs w:val="20"/>
        </w:rPr>
        <w:t>ny panel member can nominate any proposal for discussion by the panel</w:t>
      </w:r>
      <w:r w:rsidR="00D35146">
        <w:rPr>
          <w:rFonts w:ascii="Garamond" w:hAnsi="Garamond"/>
          <w:sz w:val="22"/>
          <w:szCs w:val="20"/>
        </w:rPr>
        <w:t>.</w:t>
      </w:r>
      <w:r w:rsidR="003A4A42">
        <w:rPr>
          <w:rFonts w:ascii="Garamond" w:hAnsi="Garamond"/>
          <w:sz w:val="22"/>
          <w:szCs w:val="20"/>
        </w:rPr>
        <w:t xml:space="preserve"> </w:t>
      </w:r>
      <w:r>
        <w:rPr>
          <w:rFonts w:ascii="Garamond" w:hAnsi="Garamond"/>
          <w:sz w:val="22"/>
          <w:szCs w:val="20"/>
        </w:rPr>
        <w:t xml:space="preserve">As a result of the discussions, </w:t>
      </w:r>
      <w:r w:rsidR="00914165">
        <w:rPr>
          <w:rFonts w:ascii="Garamond" w:hAnsi="Garamond"/>
          <w:sz w:val="22"/>
          <w:szCs w:val="20"/>
        </w:rPr>
        <w:t>panel</w:t>
      </w:r>
      <w:r>
        <w:rPr>
          <w:rFonts w:ascii="Garamond" w:hAnsi="Garamond"/>
          <w:sz w:val="22"/>
          <w:szCs w:val="20"/>
        </w:rPr>
        <w:t xml:space="preserve"> members may choose to revise their preliminary scores.</w:t>
      </w:r>
    </w:p>
    <w:p w:rsidR="00E44A48" w:rsidRPr="00E44A48" w:rsidRDefault="00E44A48" w:rsidP="00194244">
      <w:pPr>
        <w:tabs>
          <w:tab w:val="left" w:pos="720"/>
        </w:tabs>
        <w:spacing w:beforeLines="1" w:before="2" w:afterLines="1" w:after="2"/>
        <w:ind w:left="720"/>
        <w:jc w:val="both"/>
        <w:rPr>
          <w:rFonts w:ascii="Garamond" w:hAnsi="Garamond"/>
          <w:sz w:val="22"/>
          <w:szCs w:val="20"/>
        </w:rPr>
      </w:pPr>
    </w:p>
    <w:p w:rsidR="00E44A48" w:rsidRDefault="00E44A48" w:rsidP="0019424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 xml:space="preserve">Each </w:t>
      </w:r>
      <w:r w:rsidR="00914165">
        <w:rPr>
          <w:rFonts w:ascii="Garamond" w:hAnsi="Garamond"/>
          <w:sz w:val="22"/>
          <w:szCs w:val="20"/>
        </w:rPr>
        <w:t>panel</w:t>
      </w:r>
      <w:r>
        <w:rPr>
          <w:rFonts w:ascii="Garamond" w:hAnsi="Garamond"/>
          <w:sz w:val="22"/>
          <w:szCs w:val="20"/>
        </w:rPr>
        <w:t xml:space="preserve">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w:t>
      </w:r>
    </w:p>
    <w:p w:rsidR="00E44A48" w:rsidRPr="00E44A48" w:rsidRDefault="00E44A48" w:rsidP="00194244">
      <w:pPr>
        <w:tabs>
          <w:tab w:val="left" w:pos="720"/>
        </w:tabs>
        <w:spacing w:beforeLines="1" w:before="2" w:afterLines="1" w:after="2"/>
        <w:ind w:left="720"/>
        <w:jc w:val="both"/>
        <w:rPr>
          <w:rFonts w:ascii="Garamond" w:hAnsi="Garamond"/>
          <w:sz w:val="22"/>
          <w:szCs w:val="20"/>
        </w:rPr>
      </w:pPr>
    </w:p>
    <w:p w:rsidR="00E44A48" w:rsidRDefault="00E44A48" w:rsidP="0019424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 xml:space="preserve">The full Committee will re-convene for a comprehensive review of all preliminary scores, and then it will develop final scores.  Upon review of all of the preliminary scores, individual SOSA Committee members can nominate any proposal for review and discussion by the full Committee.  The full Committee does not have to review and discuss every proposal. </w:t>
      </w:r>
    </w:p>
    <w:p w:rsidR="00E44A48" w:rsidRPr="00E44A48" w:rsidRDefault="00E44A48" w:rsidP="00194244">
      <w:pPr>
        <w:tabs>
          <w:tab w:val="left" w:pos="720"/>
        </w:tabs>
        <w:spacing w:beforeLines="1" w:before="2" w:afterLines="1" w:after="2"/>
        <w:ind w:left="720"/>
        <w:jc w:val="both"/>
        <w:rPr>
          <w:rFonts w:ascii="Garamond" w:hAnsi="Garamond"/>
          <w:sz w:val="22"/>
          <w:szCs w:val="20"/>
        </w:rPr>
      </w:pPr>
      <w:r w:rsidRPr="00E44A48">
        <w:rPr>
          <w:rFonts w:ascii="Garamond" w:hAnsi="Garamond"/>
          <w:sz w:val="22"/>
          <w:szCs w:val="20"/>
        </w:rPr>
        <w:t xml:space="preserve"> </w:t>
      </w:r>
    </w:p>
    <w:p w:rsidR="00E44A48" w:rsidRDefault="00E44A48" w:rsidP="00194244">
      <w:pPr>
        <w:pStyle w:val="ListParagraph"/>
        <w:numPr>
          <w:ilvl w:val="0"/>
          <w:numId w:val="24"/>
        </w:numPr>
        <w:tabs>
          <w:tab w:val="left" w:pos="720"/>
        </w:tabs>
        <w:spacing w:beforeLines="1" w:before="2" w:afterLines="1" w:after="2"/>
        <w:ind w:left="1440"/>
        <w:jc w:val="both"/>
        <w:rPr>
          <w:rFonts w:ascii="Garamond" w:hAnsi="Garamond"/>
          <w:sz w:val="22"/>
          <w:szCs w:val="20"/>
        </w:rPr>
      </w:pPr>
      <w:r>
        <w:rPr>
          <w:rFonts w:ascii="Garamond" w:hAnsi="Garamond"/>
          <w:sz w:val="22"/>
          <w:szCs w:val="20"/>
        </w:rPr>
        <w:t>Upon completion of the full Committee’s determination of final scores, the SOSA Chair will provide the final scores to the Provost’s Designee.  The Provost’s Designee will integrate the scores from any individual SOSA Committee members who had submitted proposals.  The Provost’s Designee will then submit the complete summary of final scores to the Office of Academic Affairs.</w:t>
      </w:r>
    </w:p>
    <w:p w:rsidR="004851A7" w:rsidRDefault="004851A7" w:rsidP="005F79ED">
      <w:pPr>
        <w:pStyle w:val="ListParagraph"/>
        <w:spacing w:before="2" w:after="2"/>
        <w:rPr>
          <w:rFonts w:ascii="Garamond" w:hAnsi="Garamond"/>
          <w:sz w:val="22"/>
          <w:szCs w:val="20"/>
        </w:rPr>
      </w:pPr>
    </w:p>
    <w:p w:rsidR="00552A65" w:rsidRPr="00552A65" w:rsidRDefault="00CE69E4" w:rsidP="00194244">
      <w:pPr>
        <w:pStyle w:val="ListParagraph"/>
        <w:numPr>
          <w:ilvl w:val="0"/>
          <w:numId w:val="24"/>
        </w:numPr>
        <w:tabs>
          <w:tab w:val="left" w:pos="720"/>
        </w:tabs>
        <w:spacing w:beforeLines="1" w:before="2" w:afterLines="1" w:after="2"/>
        <w:ind w:left="1440"/>
        <w:jc w:val="both"/>
        <w:rPr>
          <w:rFonts w:ascii="Garamond" w:hAnsi="Garamond"/>
          <w:sz w:val="22"/>
        </w:rPr>
      </w:pPr>
      <w:r w:rsidRPr="00CE69E4">
        <w:rPr>
          <w:rFonts w:ascii="Garamond" w:hAnsi="Garamond"/>
          <w:sz w:val="22"/>
        </w:rPr>
        <w:t>After the SOSA results are announced</w:t>
      </w:r>
      <w:r w:rsidR="003A4A42" w:rsidRPr="003A4A42">
        <w:rPr>
          <w:rFonts w:ascii="Garamond" w:hAnsi="Garamond"/>
          <w:sz w:val="22"/>
        </w:rPr>
        <w:t xml:space="preserve">, </w:t>
      </w:r>
      <w:r w:rsidRPr="00CE69E4">
        <w:rPr>
          <w:rFonts w:ascii="Garamond" w:hAnsi="Garamond"/>
          <w:sz w:val="22"/>
        </w:rPr>
        <w:t>the</w:t>
      </w:r>
      <w:r w:rsidR="003A4A42">
        <w:rPr>
          <w:rFonts w:ascii="Garamond" w:hAnsi="Garamond"/>
          <w:sz w:val="22"/>
        </w:rPr>
        <w:t xml:space="preserve"> </w:t>
      </w:r>
      <w:r w:rsidRPr="00CE69E4">
        <w:rPr>
          <w:rFonts w:ascii="Garamond" w:hAnsi="Garamond"/>
          <w:sz w:val="22"/>
        </w:rPr>
        <w:t xml:space="preserve">Chair of </w:t>
      </w:r>
      <w:r w:rsidR="003A4A42">
        <w:rPr>
          <w:rFonts w:ascii="Garamond" w:hAnsi="Garamond"/>
          <w:sz w:val="22"/>
        </w:rPr>
        <w:t xml:space="preserve">the </w:t>
      </w:r>
      <w:r w:rsidRPr="00CE69E4">
        <w:rPr>
          <w:rFonts w:ascii="Garamond" w:hAnsi="Garamond"/>
          <w:sz w:val="22"/>
        </w:rPr>
        <w:t xml:space="preserve">SOSA Committee </w:t>
      </w:r>
      <w:r w:rsidR="003A4A42">
        <w:rPr>
          <w:rFonts w:ascii="Garamond" w:hAnsi="Garamond"/>
          <w:sz w:val="22"/>
        </w:rPr>
        <w:t>can share the average scores of</w:t>
      </w:r>
      <w:r w:rsidRPr="00CE69E4">
        <w:rPr>
          <w:rFonts w:ascii="Garamond" w:hAnsi="Garamond"/>
          <w:sz w:val="22"/>
        </w:rPr>
        <w:t xml:space="preserve"> each category </w:t>
      </w:r>
      <w:r w:rsidR="003A4A42">
        <w:rPr>
          <w:rFonts w:ascii="Garamond" w:hAnsi="Garamond"/>
          <w:sz w:val="22"/>
        </w:rPr>
        <w:t xml:space="preserve">in the evaluation rubric </w:t>
      </w:r>
      <w:r w:rsidRPr="00CE69E4">
        <w:rPr>
          <w:rFonts w:ascii="Garamond" w:hAnsi="Garamond"/>
          <w:sz w:val="22"/>
        </w:rPr>
        <w:t>with applicants who request feedback</w:t>
      </w:r>
      <w:r w:rsidR="003A4A42">
        <w:rPr>
          <w:rFonts w:ascii="Garamond" w:hAnsi="Garamond"/>
          <w:sz w:val="22"/>
        </w:rPr>
        <w:t>.</w:t>
      </w:r>
    </w:p>
    <w:p w:rsidR="005E47DE" w:rsidRPr="00FE5EDD" w:rsidRDefault="005E47DE" w:rsidP="005E47DE">
      <w:pPr>
        <w:jc w:val="both"/>
        <w:rPr>
          <w:rFonts w:ascii="Garamond" w:hAnsi="Garamond"/>
          <w:sz w:val="22"/>
        </w:rPr>
      </w:pPr>
    </w:p>
    <w:p w:rsidR="00942F77" w:rsidRPr="00FE5EDD" w:rsidRDefault="00942F77" w:rsidP="00942F77">
      <w:pPr>
        <w:tabs>
          <w:tab w:val="left" w:pos="360"/>
          <w:tab w:val="left" w:pos="720"/>
        </w:tabs>
        <w:jc w:val="both"/>
        <w:rPr>
          <w:rFonts w:ascii="Garamond" w:hAnsi="Garamond"/>
          <w:b/>
          <w:sz w:val="22"/>
        </w:rPr>
      </w:pPr>
      <w:r w:rsidRPr="00FE5EDD">
        <w:rPr>
          <w:rFonts w:ascii="Garamond" w:hAnsi="Garamond"/>
          <w:b/>
          <w:sz w:val="22"/>
        </w:rPr>
        <w:tab/>
      </w:r>
      <w:r w:rsidR="005E47DE">
        <w:rPr>
          <w:rFonts w:ascii="Garamond" w:hAnsi="Garamond"/>
          <w:b/>
          <w:sz w:val="22"/>
        </w:rPr>
        <w:t>3</w:t>
      </w:r>
      <w:r w:rsidRPr="00FE5EDD">
        <w:rPr>
          <w:rFonts w:ascii="Garamond" w:hAnsi="Garamond"/>
          <w:b/>
          <w:sz w:val="22"/>
        </w:rPr>
        <w:t>.</w:t>
      </w:r>
      <w:r w:rsidRPr="00FE5EDD">
        <w:rPr>
          <w:rFonts w:ascii="Garamond" w:hAnsi="Garamond"/>
          <w:b/>
          <w:sz w:val="22"/>
        </w:rPr>
        <w:tab/>
        <w:t>Review Criteria</w:t>
      </w:r>
    </w:p>
    <w:p w:rsidR="00942F77" w:rsidRPr="00FE5EDD" w:rsidRDefault="00942F77" w:rsidP="00942F77">
      <w:pPr>
        <w:tabs>
          <w:tab w:val="left" w:pos="720"/>
          <w:tab w:val="left" w:pos="1080"/>
          <w:tab w:val="left" w:pos="1440"/>
        </w:tabs>
        <w:ind w:left="720" w:hanging="720"/>
        <w:jc w:val="both"/>
        <w:rPr>
          <w:rFonts w:ascii="Garamond" w:hAnsi="Garamond"/>
          <w:sz w:val="22"/>
        </w:rPr>
      </w:pPr>
      <w:r>
        <w:rPr>
          <w:rFonts w:ascii="Garamond" w:hAnsi="Garamond"/>
          <w:sz w:val="22"/>
        </w:rPr>
        <w:tab/>
      </w:r>
      <w:r w:rsidRPr="00FE5EDD">
        <w:rPr>
          <w:rFonts w:ascii="Garamond" w:hAnsi="Garamond"/>
          <w:sz w:val="22"/>
        </w:rPr>
        <w:t>The applicant should keep in mind that non-sp</w:t>
      </w:r>
      <w:r w:rsidR="00706B09">
        <w:rPr>
          <w:rFonts w:ascii="Garamond" w:hAnsi="Garamond"/>
          <w:sz w:val="22"/>
        </w:rPr>
        <w:t>ecialists will be evaluating her/his</w:t>
      </w:r>
      <w:r w:rsidRPr="00FE5EDD">
        <w:rPr>
          <w:rFonts w:ascii="Garamond" w:hAnsi="Garamond"/>
          <w:sz w:val="22"/>
        </w:rPr>
        <w:t xml:space="preserve"> proposal, so the applicant should be certain to use non-technical language that is accessible to any educated lay person. It is the applicant</w:t>
      </w:r>
      <w:r w:rsidR="00FE61E0">
        <w:rPr>
          <w:rFonts w:ascii="Garamond" w:hAnsi="Garamond"/>
          <w:sz w:val="22"/>
        </w:rPr>
        <w:t>’</w:t>
      </w:r>
      <w:r w:rsidRPr="00FE5EDD">
        <w:rPr>
          <w:rFonts w:ascii="Garamond" w:hAnsi="Garamond"/>
          <w:sz w:val="22"/>
        </w:rPr>
        <w:t xml:space="preserve">s responsibility to present the </w:t>
      </w:r>
      <w:r>
        <w:rPr>
          <w:rFonts w:ascii="Garamond" w:hAnsi="Garamond"/>
          <w:sz w:val="22"/>
        </w:rPr>
        <w:t>proposal</w:t>
      </w:r>
      <w:r w:rsidRPr="00FE5EDD">
        <w:rPr>
          <w:rFonts w:ascii="Garamond" w:hAnsi="Garamond"/>
          <w:sz w:val="22"/>
        </w:rPr>
        <w:t xml:space="preserve"> in a clear, well-organized</w:t>
      </w:r>
      <w:r>
        <w:rPr>
          <w:rFonts w:ascii="Garamond" w:hAnsi="Garamond"/>
          <w:sz w:val="22"/>
        </w:rPr>
        <w:t>, and coherent</w:t>
      </w:r>
      <w:r w:rsidRPr="00FE5EDD">
        <w:rPr>
          <w:rFonts w:ascii="Garamond" w:hAnsi="Garamond"/>
          <w:sz w:val="22"/>
        </w:rPr>
        <w:t xml:space="preserve"> manner that effectively communicates the </w:t>
      </w:r>
      <w:r>
        <w:rPr>
          <w:rFonts w:ascii="Garamond" w:hAnsi="Garamond"/>
          <w:sz w:val="22"/>
        </w:rPr>
        <w:t>proposed work</w:t>
      </w:r>
      <w:r w:rsidRPr="00FE5EDD">
        <w:rPr>
          <w:rFonts w:ascii="Garamond" w:hAnsi="Garamond"/>
          <w:sz w:val="22"/>
        </w:rPr>
        <w:t xml:space="preserve"> and its merits.</w:t>
      </w:r>
      <w:r>
        <w:rPr>
          <w:rFonts w:ascii="Garamond" w:hAnsi="Garamond"/>
          <w:sz w:val="22"/>
        </w:rPr>
        <w:t xml:space="preserve"> </w:t>
      </w:r>
      <w:r w:rsidRPr="00FE5EDD">
        <w:rPr>
          <w:rFonts w:ascii="Garamond" w:hAnsi="Garamond"/>
          <w:sz w:val="22"/>
        </w:rPr>
        <w:t xml:space="preserve"> SOSA Committee members will evaluate each proposal on the basis of its</w:t>
      </w:r>
      <w:r>
        <w:rPr>
          <w:rFonts w:ascii="Garamond" w:hAnsi="Garamond"/>
          <w:sz w:val="22"/>
        </w:rPr>
        <w:t xml:space="preserve"> intellectual merit and </w:t>
      </w:r>
      <w:r w:rsidR="001B3764">
        <w:rPr>
          <w:rFonts w:ascii="Garamond" w:hAnsi="Garamond"/>
          <w:sz w:val="22"/>
        </w:rPr>
        <w:t xml:space="preserve">the </w:t>
      </w:r>
      <w:r>
        <w:rPr>
          <w:rFonts w:ascii="Garamond" w:hAnsi="Garamond"/>
          <w:sz w:val="22"/>
        </w:rPr>
        <w:t xml:space="preserve">qualifications/expertise of the applicant.  </w:t>
      </w:r>
      <w:r w:rsidRPr="00FE5EDD">
        <w:rPr>
          <w:rFonts w:ascii="Garamond" w:hAnsi="Garamond"/>
          <w:sz w:val="22"/>
        </w:rPr>
        <w:t xml:space="preserve">The evaluation rubric that will be used by the SOSA Committee can be found on the last page of </w:t>
      </w:r>
      <w:r w:rsidR="001B3764">
        <w:rPr>
          <w:rFonts w:ascii="Garamond" w:hAnsi="Garamond"/>
          <w:sz w:val="22"/>
        </w:rPr>
        <w:t>the Request for Proposals</w:t>
      </w:r>
      <w:r w:rsidRPr="00FE5EDD">
        <w:rPr>
          <w:rFonts w:ascii="Garamond" w:hAnsi="Garamond"/>
          <w:sz w:val="22"/>
        </w:rPr>
        <w:t xml:space="preserve">.   </w:t>
      </w:r>
    </w:p>
    <w:p w:rsidR="00942F77" w:rsidRPr="00FE5EDD" w:rsidRDefault="00942F77" w:rsidP="00942F77">
      <w:pPr>
        <w:tabs>
          <w:tab w:val="left" w:pos="360"/>
        </w:tabs>
        <w:jc w:val="both"/>
        <w:rPr>
          <w:rFonts w:ascii="Garamond" w:hAnsi="Garamond"/>
          <w:b/>
          <w:smallCaps/>
        </w:rPr>
      </w:pPr>
    </w:p>
    <w:p w:rsidR="006A20C9" w:rsidRDefault="006A20C9" w:rsidP="00AB5404">
      <w:pPr>
        <w:tabs>
          <w:tab w:val="left" w:pos="360"/>
        </w:tabs>
        <w:jc w:val="both"/>
        <w:rPr>
          <w:rFonts w:ascii="Garamond" w:hAnsi="Garamond"/>
          <w:b/>
          <w:smallCaps/>
        </w:rPr>
      </w:pPr>
    </w:p>
    <w:p w:rsidR="00AB5404" w:rsidRDefault="00AB5404" w:rsidP="00AB5404">
      <w:pPr>
        <w:tabs>
          <w:tab w:val="left" w:pos="360"/>
        </w:tabs>
        <w:jc w:val="both"/>
        <w:rPr>
          <w:rFonts w:ascii="Garamond" w:hAnsi="Garamond"/>
          <w:b/>
          <w:smallCaps/>
        </w:rPr>
      </w:pPr>
      <w:r>
        <w:rPr>
          <w:rFonts w:ascii="Garamond" w:hAnsi="Garamond"/>
          <w:b/>
          <w:smallCaps/>
        </w:rPr>
        <w:t>Post-award Reporting Requirements</w:t>
      </w:r>
    </w:p>
    <w:p w:rsidR="00AB5404" w:rsidRPr="002D3826" w:rsidRDefault="00194244" w:rsidP="00AB5404">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36195</wp:posOffset>
                </wp:positionV>
                <wp:extent cx="5943600" cy="6985"/>
                <wp:effectExtent l="9525" t="7620" r="9525" b="1397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98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" strokecolor="#339"/>
            </w:pict>
          </mc:Fallback>
        </mc:AlternateContent>
      </w:r>
    </w:p>
    <w:p w:rsidR="00942F77" w:rsidRPr="00C0279C" w:rsidRDefault="00942F77" w:rsidP="00942F77">
      <w:pPr>
        <w:jc w:val="both"/>
        <w:rPr>
          <w:rFonts w:ascii="Garamond" w:hAnsi="Garamond"/>
          <w:sz w:val="22"/>
        </w:rPr>
      </w:pPr>
      <w:r>
        <w:rPr>
          <w:rFonts w:ascii="Garamond" w:hAnsi="Garamond"/>
          <w:sz w:val="22"/>
        </w:rPr>
        <w:t>E</w:t>
      </w:r>
      <w:r w:rsidRPr="00C0279C">
        <w:rPr>
          <w:rFonts w:ascii="Garamond" w:hAnsi="Garamond"/>
          <w:sz w:val="22"/>
        </w:rPr>
        <w:t xml:space="preserve">very supported faculty member </w:t>
      </w:r>
      <w:r w:rsidR="00F03455">
        <w:rPr>
          <w:rFonts w:ascii="Garamond" w:hAnsi="Garamond"/>
          <w:sz w:val="22"/>
        </w:rPr>
        <w:t xml:space="preserve">and librarian </w:t>
      </w:r>
      <w:r w:rsidRPr="00C0279C">
        <w:rPr>
          <w:rFonts w:ascii="Garamond" w:hAnsi="Garamond"/>
          <w:sz w:val="22"/>
        </w:rPr>
        <w:t>must submit a final report of scholarly</w:t>
      </w:r>
      <w:r w:rsidR="00F03455">
        <w:rPr>
          <w:rFonts w:ascii="Garamond" w:hAnsi="Garamond"/>
          <w:sz w:val="22"/>
        </w:rPr>
        <w:t>/creative/professional</w:t>
      </w:r>
      <w:r w:rsidRPr="00C0279C">
        <w:rPr>
          <w:rFonts w:ascii="Garamond" w:hAnsi="Garamond"/>
          <w:sz w:val="22"/>
        </w:rPr>
        <w:t xml:space="preserve"> activities at the end of the grant period, to be submitted to the Office of Academic Affairs on the first Monday of October. Reports will be used in the evaluation of subsequent applications.  Failure to submit a report will place future workload assignments for scholarship in jeopardy.</w:t>
      </w:r>
    </w:p>
    <w:p w:rsidR="00942F77" w:rsidRPr="00C0279C" w:rsidRDefault="00942F77" w:rsidP="00942F77">
      <w:pPr>
        <w:jc w:val="both"/>
        <w:rPr>
          <w:rFonts w:ascii="Garamond" w:hAnsi="Garamond"/>
          <w:sz w:val="22"/>
        </w:rPr>
      </w:pPr>
    </w:p>
    <w:p w:rsidR="00DA6787" w:rsidRDefault="00942F77" w:rsidP="00942F77">
      <w:pPr>
        <w:jc w:val="both"/>
        <w:rPr>
          <w:rFonts w:ascii="Garamond" w:hAnsi="Garamond"/>
          <w:sz w:val="22"/>
        </w:rPr>
      </w:pPr>
      <w:r w:rsidRPr="00C0279C">
        <w:rPr>
          <w:rFonts w:ascii="Garamond" w:hAnsi="Garamond"/>
          <w:sz w:val="22"/>
        </w:rPr>
        <w:t xml:space="preserve">The report should include a brief description of 1) the nature of the scholarly/creative/professional activities carried out during the SOSA award, 2) the objectives and expected outcomes from the original, funded SOSA proposal, and 3) a short explanation of how they were met or why they were not met.  Instructions for the format of the </w:t>
      </w:r>
      <w:r w:rsidRPr="00C0279C">
        <w:rPr>
          <w:rFonts w:ascii="Garamond" w:hAnsi="Garamond"/>
          <w:i/>
          <w:sz w:val="22"/>
        </w:rPr>
        <w:t>Alternate Assignments Follow-up Report</w:t>
      </w:r>
      <w:r w:rsidRPr="00C0279C">
        <w:rPr>
          <w:rFonts w:ascii="Garamond" w:hAnsi="Garamond"/>
          <w:sz w:val="22"/>
        </w:rPr>
        <w:t xml:space="preserve"> are available online: </w:t>
      </w:r>
    </w:p>
    <w:p w:rsidR="00942F77" w:rsidRPr="00C0279C" w:rsidRDefault="00942F77" w:rsidP="00942F77">
      <w:pPr>
        <w:jc w:val="both"/>
        <w:rPr>
          <w:rFonts w:ascii="Garamond" w:hAnsi="Garamond"/>
          <w:sz w:val="22"/>
        </w:rPr>
      </w:pPr>
      <w:r w:rsidRPr="00C0279C">
        <w:rPr>
          <w:rFonts w:ascii="Garamond" w:hAnsi="Garamond"/>
          <w:sz w:val="22"/>
        </w:rPr>
        <w:t>http://www.tcnj.edu/~academic/research/index.html.</w:t>
      </w:r>
    </w:p>
    <w:p w:rsidR="00942F77" w:rsidRPr="00C0279C" w:rsidRDefault="00942F77" w:rsidP="00942F77">
      <w:pPr>
        <w:jc w:val="both"/>
        <w:rPr>
          <w:rFonts w:ascii="Garamond" w:hAnsi="Garamond"/>
          <w:sz w:val="22"/>
        </w:rPr>
      </w:pPr>
    </w:p>
    <w:p w:rsidR="00942F77" w:rsidRDefault="00942F77" w:rsidP="00942F77">
      <w:pPr>
        <w:jc w:val="both"/>
        <w:rPr>
          <w:rFonts w:ascii="Garamond" w:hAnsi="Garamond"/>
          <w:sz w:val="22"/>
        </w:rPr>
      </w:pPr>
      <w:r w:rsidRPr="00C0279C">
        <w:rPr>
          <w:rFonts w:ascii="Garamond" w:hAnsi="Garamond"/>
          <w:sz w:val="22"/>
        </w:rPr>
        <w:t>Interim reports at the end of the first year of a two-year award are not necessary.</w:t>
      </w:r>
    </w:p>
    <w:p w:rsidR="00942F77" w:rsidRDefault="00942F77" w:rsidP="00942F77">
      <w:pPr>
        <w:jc w:val="both"/>
        <w:rPr>
          <w:rFonts w:ascii="Garamond" w:hAnsi="Garamond"/>
          <w:sz w:val="22"/>
        </w:rPr>
      </w:pPr>
    </w:p>
    <w:p w:rsidR="00942F77" w:rsidRPr="009043DE" w:rsidRDefault="00942F77" w:rsidP="00942F77"/>
    <w:p w:rsidR="00942F77" w:rsidRPr="00FC1941" w:rsidRDefault="00942F77" w:rsidP="00942F77"/>
    <w:p w:rsidR="00AA14A3" w:rsidRDefault="00942F77">
      <w:pPr>
        <w:rPr>
          <w:rFonts w:ascii="Garamond" w:hAnsi="Garamond"/>
          <w:b/>
          <w:smallCaps/>
          <w:sz w:val="8"/>
        </w:rPr>
      </w:pPr>
      <w:r>
        <w:br w:type="page"/>
      </w:r>
      <w:r>
        <w:rPr>
          <w:rFonts w:ascii="Garamond" w:hAnsi="Garamond"/>
          <w:b/>
          <w:smallCaps/>
          <w:sz w:val="8"/>
        </w:rPr>
        <w:tab/>
      </w:r>
    </w:p>
    <w:tbl>
      <w:tblPr>
        <w:tblW w:w="10728" w:type="dxa"/>
        <w:tblLayout w:type="fixed"/>
        <w:tblLook w:val="00BF" w:firstRow="1" w:lastRow="0" w:firstColumn="1" w:lastColumn="0" w:noHBand="0" w:noVBand="0"/>
      </w:tblPr>
      <w:tblGrid>
        <w:gridCol w:w="2628"/>
        <w:gridCol w:w="8100"/>
      </w:tblGrid>
      <w:tr w:rsidR="00866EEA">
        <w:tc>
          <w:tcPr>
            <w:tcW w:w="2628" w:type="dxa"/>
          </w:tcPr>
          <w:p w:rsidR="00866EEA" w:rsidRPr="006213B8" w:rsidRDefault="00866EEA">
            <w:pPr>
              <w:tabs>
                <w:tab w:val="left" w:pos="180"/>
                <w:tab w:val="left" w:pos="3600"/>
              </w:tabs>
              <w:jc w:val="both"/>
              <w:rPr>
                <w:rFonts w:ascii="Garamond" w:hAnsi="Garamond"/>
                <w:b/>
                <w:smallCaps/>
                <w:sz w:val="28"/>
              </w:rPr>
            </w:pPr>
            <w:r w:rsidRPr="006213B8">
              <w:rPr>
                <w:noProof/>
                <w:sz w:val="28"/>
              </w:rPr>
              <w:drawing>
                <wp:anchor distT="0" distB="0" distL="114300" distR="114300" simplePos="0" relativeHeight="251683840" behindDoc="0" locked="0" layoutInCell="1" allowOverlap="1">
                  <wp:simplePos x="0" y="0"/>
                  <wp:positionH relativeFrom="column">
                    <wp:posOffset>-44450</wp:posOffset>
                  </wp:positionH>
                  <wp:positionV relativeFrom="paragraph">
                    <wp:posOffset>-57150</wp:posOffset>
                  </wp:positionV>
                  <wp:extent cx="1627505" cy="562610"/>
                  <wp:effectExtent l="25400" t="0" r="0" b="0"/>
                  <wp:wrapTight wrapText="bothSides">
                    <wp:wrapPolygon edited="0">
                      <wp:start x="-337" y="0"/>
                      <wp:lineTo x="-337" y="21454"/>
                      <wp:lineTo x="21575" y="21454"/>
                      <wp:lineTo x="21575" y="0"/>
                      <wp:lineTo x="-337" y="0"/>
                    </wp:wrapPolygon>
                  </wp:wrapTight>
                  <wp:docPr id="2" name="Picture 2" descr="T11_medium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_medium_color_Logo"/>
                          <pic:cNvPicPr>
                            <a:picLocks noChangeAspect="1" noChangeArrowheads="1"/>
                          </pic:cNvPicPr>
                        </pic:nvPicPr>
                        <pic:blipFill>
                          <a:blip r:embed="rId11" cstate="print"/>
                          <a:srcRect/>
                          <a:stretch>
                            <a:fillRect/>
                          </a:stretch>
                        </pic:blipFill>
                        <pic:spPr bwMode="auto">
                          <a:xfrm>
                            <a:off x="0" y="0"/>
                            <a:ext cx="1627505" cy="562610"/>
                          </a:xfrm>
                          <a:prstGeom prst="rect">
                            <a:avLst/>
                          </a:prstGeom>
                          <a:noFill/>
                          <a:ln w="9525">
                            <a:noFill/>
                            <a:miter lim="800000"/>
                            <a:headEnd/>
                            <a:tailEnd/>
                          </a:ln>
                        </pic:spPr>
                      </pic:pic>
                    </a:graphicData>
                  </a:graphic>
                </wp:anchor>
              </w:drawing>
            </w:r>
          </w:p>
        </w:tc>
        <w:tc>
          <w:tcPr>
            <w:tcW w:w="8100" w:type="dxa"/>
          </w:tcPr>
          <w:p w:rsidR="00866EEA" w:rsidRDefault="00194244" w:rsidP="00866EEA">
            <w:pPr>
              <w:pStyle w:val="Heading1"/>
              <w:tabs>
                <w:tab w:val="right" w:pos="6642"/>
              </w:tabs>
              <w:ind w:left="-108" w:right="1062"/>
              <w:rPr>
                <w:rFonts w:ascii="Garamond" w:hAnsi="Garamond"/>
                <w:b w:val="0"/>
                <w:smallCaps/>
                <w:noProof/>
                <w:sz w:val="36"/>
              </w:rPr>
            </w:pPr>
            <w:r>
              <w:rPr>
                <w:rFonts w:ascii="Garamond" w:hAnsi="Garamond"/>
                <w:b w:val="0"/>
                <w:smallCaps/>
                <w:noProof/>
                <w:sz w:val="36"/>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619125</wp:posOffset>
                      </wp:positionV>
                      <wp:extent cx="4457700" cy="9525"/>
                      <wp:effectExtent l="17145" t="9525" r="11430" b="952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95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75pt" to="34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" strokecolor="#339" strokeweight="1.5pt"/>
                  </w:pict>
                </mc:Fallback>
              </mc:AlternateContent>
            </w:r>
            <w:r w:rsidR="00866EEA">
              <w:rPr>
                <w:rFonts w:ascii="Garamond" w:hAnsi="Garamond"/>
                <w:color w:val="000090"/>
                <w:sz w:val="42"/>
              </w:rPr>
              <w:tab/>
              <w:t xml:space="preserve"> </w:t>
            </w:r>
            <w:r w:rsidR="00866EEA" w:rsidRPr="00866EEA">
              <w:rPr>
                <w:rFonts w:ascii="Garamond" w:hAnsi="Garamond"/>
                <w:color w:val="000090"/>
                <w:sz w:val="42"/>
              </w:rPr>
              <w:t>Support of Scholarly Activities</w:t>
            </w:r>
            <w:r w:rsidR="00866EEA">
              <w:rPr>
                <w:rFonts w:ascii="Garamond" w:hAnsi="Garamond"/>
                <w:color w:val="000090"/>
                <w:sz w:val="42"/>
              </w:rPr>
              <w:t xml:space="preserve"> </w:t>
            </w:r>
            <w:r w:rsidR="00866EEA" w:rsidRPr="00866EEA">
              <w:rPr>
                <w:rFonts w:ascii="Garamond" w:hAnsi="Garamond"/>
                <w:color w:val="000090"/>
                <w:sz w:val="42"/>
              </w:rPr>
              <w:t>(SOSA</w:t>
            </w:r>
            <w:r w:rsidR="00866EEA">
              <w:rPr>
                <w:rFonts w:ascii="Garamond" w:hAnsi="Garamond"/>
                <w:color w:val="000090"/>
                <w:sz w:val="42"/>
              </w:rPr>
              <w:t>)</w:t>
            </w:r>
            <w:r w:rsidR="00866EEA">
              <w:rPr>
                <w:rFonts w:ascii="Garamond" w:hAnsi="Garamond"/>
                <w:b w:val="0"/>
                <w:smallCaps/>
                <w:noProof/>
                <w:sz w:val="36"/>
              </w:rPr>
              <w:t xml:space="preserve">                            </w:t>
            </w:r>
          </w:p>
          <w:p w:rsidR="00866EEA" w:rsidRPr="00866EEA" w:rsidRDefault="00866EEA" w:rsidP="00866EEA">
            <w:pPr>
              <w:pStyle w:val="Heading1"/>
              <w:tabs>
                <w:tab w:val="right" w:pos="6642"/>
              </w:tabs>
              <w:ind w:left="-108" w:right="1062"/>
              <w:rPr>
                <w:rFonts w:ascii="Garamond" w:hAnsi="Garamond"/>
                <w:color w:val="000090"/>
                <w:sz w:val="42"/>
              </w:rPr>
            </w:pPr>
            <w:r>
              <w:rPr>
                <w:rFonts w:ascii="Garamond" w:hAnsi="Garamond"/>
                <w:b w:val="0"/>
                <w:smallCaps/>
                <w:noProof/>
                <w:sz w:val="36"/>
              </w:rPr>
              <w:t xml:space="preserve">          </w:t>
            </w:r>
            <w:r w:rsidRPr="00866EEA">
              <w:rPr>
                <w:rFonts w:ascii="Garamond" w:hAnsi="Garamond"/>
                <w:color w:val="000090"/>
                <w:sz w:val="36"/>
              </w:rPr>
              <w:t xml:space="preserve">for Awards in Academic Years 2012-2014  </w:t>
            </w:r>
          </w:p>
        </w:tc>
      </w:tr>
    </w:tbl>
    <w:p w:rsidR="00942F77" w:rsidRDefault="00942F77" w:rsidP="00942F77">
      <w:pPr>
        <w:jc w:val="center"/>
        <w:rPr>
          <w:rFonts w:ascii="Garamond" w:hAnsi="Garamond"/>
          <w:b/>
          <w:smallCaps/>
          <w:sz w:val="72"/>
        </w:rPr>
      </w:pPr>
      <w:r>
        <w:rPr>
          <w:rFonts w:ascii="Garamond" w:hAnsi="Garamond"/>
          <w:b/>
          <w:smallCaps/>
          <w:sz w:val="72"/>
        </w:rPr>
        <w:t>Request for Proposals</w:t>
      </w:r>
    </w:p>
    <w:p w:rsidR="00942F77" w:rsidRDefault="00942F77" w:rsidP="00942F77">
      <w:pPr>
        <w:rPr>
          <w:rFonts w:ascii="Garamond" w:hAnsi="Garamond"/>
          <w:b/>
          <w:sz w:val="22"/>
        </w:rPr>
      </w:pPr>
    </w:p>
    <w:p w:rsidR="00942F77" w:rsidRDefault="00942F77" w:rsidP="00942F77">
      <w:pPr>
        <w:pBdr>
          <w:top w:val="single" w:sz="4" w:space="1" w:color="333399"/>
          <w:left w:val="single" w:sz="4" w:space="4" w:color="333399"/>
          <w:bottom w:val="single" w:sz="4" w:space="1" w:color="333399"/>
          <w:right w:val="single" w:sz="4" w:space="4" w:color="333399"/>
        </w:pBdr>
        <w:shd w:val="clear" w:color="auto" w:fill="E0E0E0"/>
        <w:rPr>
          <w:rFonts w:ascii="Garamond" w:hAnsi="Garamond"/>
          <w:b/>
          <w:sz w:val="16"/>
        </w:rPr>
      </w:pPr>
    </w:p>
    <w:p w:rsidR="00942F77" w:rsidRDefault="00942F77" w:rsidP="00942F77">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b/>
        </w:rPr>
      </w:pPr>
      <w:r>
        <w:rPr>
          <w:rFonts w:ascii="Garamond" w:hAnsi="Garamond"/>
          <w:b/>
        </w:rPr>
        <w:t>Proposal Deadline:  Monday, October 3, 2011, 4:00 pm</w:t>
      </w:r>
    </w:p>
    <w:p w:rsidR="00942F77" w:rsidRPr="004639A4" w:rsidRDefault="00942F77" w:rsidP="00942F77">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rPr>
      </w:pPr>
      <w:r>
        <w:rPr>
          <w:rFonts w:ascii="Garamond" w:hAnsi="Garamond"/>
        </w:rPr>
        <w:t>S</w:t>
      </w:r>
      <w:r w:rsidRPr="002D3826">
        <w:rPr>
          <w:rFonts w:ascii="Garamond" w:hAnsi="Garamond"/>
        </w:rPr>
        <w:t xml:space="preserve">ubmit </w:t>
      </w:r>
      <w:r w:rsidRPr="00193029">
        <w:rPr>
          <w:rFonts w:ascii="Garamond" w:hAnsi="Garamond"/>
        </w:rPr>
        <w:t xml:space="preserve">12 copies </w:t>
      </w:r>
      <w:r w:rsidRPr="002D3826">
        <w:rPr>
          <w:rFonts w:ascii="Garamond" w:hAnsi="Garamond"/>
        </w:rPr>
        <w:t>of the complete application to the Office of Academic Affairs (Green Hall 212)</w:t>
      </w:r>
    </w:p>
    <w:p w:rsidR="00942F77" w:rsidRDefault="00942F77" w:rsidP="00942F77">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b/>
        </w:rPr>
      </w:pPr>
      <w:r>
        <w:rPr>
          <w:rFonts w:ascii="Garamond" w:hAnsi="Garamond"/>
          <w:b/>
        </w:rPr>
        <w:t>Announcement of Awards:  Mid-January 2012</w:t>
      </w:r>
    </w:p>
    <w:p w:rsidR="00942F77" w:rsidRDefault="00942F77" w:rsidP="00942F77">
      <w:pPr>
        <w:pBdr>
          <w:top w:val="single" w:sz="4" w:space="1" w:color="333399"/>
          <w:left w:val="single" w:sz="4" w:space="4" w:color="333399"/>
          <w:bottom w:val="single" w:sz="4" w:space="1" w:color="333399"/>
          <w:right w:val="single" w:sz="4" w:space="4" w:color="333399"/>
        </w:pBdr>
        <w:shd w:val="clear" w:color="auto" w:fill="E0E0E0"/>
        <w:rPr>
          <w:rFonts w:ascii="Garamond" w:hAnsi="Garamond"/>
          <w:b/>
          <w:sz w:val="16"/>
        </w:rPr>
      </w:pPr>
    </w:p>
    <w:p w:rsidR="00942F77" w:rsidRDefault="00942F77" w:rsidP="00942F77">
      <w:pPr>
        <w:jc w:val="both"/>
        <w:rPr>
          <w:rFonts w:ascii="Garamond" w:hAnsi="Garamond"/>
          <w:sz w:val="22"/>
        </w:rPr>
      </w:pPr>
    </w:p>
    <w:p w:rsidR="00942F77" w:rsidRDefault="00942F77" w:rsidP="00942F77">
      <w:pPr>
        <w:tabs>
          <w:tab w:val="left" w:pos="360"/>
        </w:tabs>
        <w:jc w:val="both"/>
        <w:rPr>
          <w:rFonts w:ascii="Garamond" w:hAnsi="Garamond"/>
          <w:b/>
          <w:smallCaps/>
        </w:rPr>
      </w:pPr>
      <w:r>
        <w:rPr>
          <w:rFonts w:ascii="Garamond" w:hAnsi="Garamond"/>
          <w:b/>
          <w:smallCaps/>
        </w:rPr>
        <w:t>Program Mission and Enduring Principles</w:t>
      </w:r>
    </w:p>
    <w:p w:rsidR="00942F77" w:rsidRPr="002D3826" w:rsidRDefault="00194244" w:rsidP="00942F7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19050</wp:posOffset>
                </wp:positionV>
                <wp:extent cx="6057900" cy="24130"/>
                <wp:effectExtent l="9525" t="9525"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413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" strokecolor="#339"/>
            </w:pict>
          </mc:Fallback>
        </mc:AlternateContent>
      </w:r>
    </w:p>
    <w:p w:rsidR="00CF00EC" w:rsidRDefault="00CF00EC" w:rsidP="00CF00EC">
      <w:pPr>
        <w:pStyle w:val="HTMLPreformatted"/>
        <w:jc w:val="both"/>
        <w:rPr>
          <w:rFonts w:ascii="Garamond" w:hAnsi="Garamond"/>
          <w:sz w:val="22"/>
          <w:szCs w:val="22"/>
        </w:rPr>
      </w:pPr>
      <w:r w:rsidRPr="007E47B9">
        <w:rPr>
          <w:rFonts w:ascii="Garamond" w:hAnsi="Garamond"/>
          <w:sz w:val="22"/>
          <w:szCs w:val="22"/>
        </w:rPr>
        <w:t xml:space="preserve">The Support of Scholarly Activities (SOSA) </w:t>
      </w:r>
      <w:r>
        <w:rPr>
          <w:rFonts w:ascii="Garamond" w:hAnsi="Garamond"/>
          <w:sz w:val="22"/>
          <w:szCs w:val="22"/>
        </w:rPr>
        <w:t xml:space="preserve">program </w:t>
      </w:r>
      <w:r w:rsidRPr="007E47B9">
        <w:rPr>
          <w:rFonts w:ascii="Garamond" w:hAnsi="Garamond"/>
          <w:sz w:val="22"/>
          <w:szCs w:val="22"/>
        </w:rPr>
        <w:t>is designed to support faculty and librarian scholarship, creative activity, and professional activit</w:t>
      </w:r>
      <w:r>
        <w:rPr>
          <w:rFonts w:ascii="Garamond" w:hAnsi="Garamond"/>
          <w:sz w:val="22"/>
          <w:szCs w:val="22"/>
        </w:rPr>
        <w:t>y</w:t>
      </w:r>
      <w:r w:rsidRPr="007E47B9">
        <w:rPr>
          <w:rFonts w:ascii="Garamond" w:hAnsi="Garamond"/>
          <w:sz w:val="22"/>
          <w:szCs w:val="22"/>
        </w:rPr>
        <w:t xml:space="preserve"> with exceptional merit and/or promise.  The SOSA program reflects the </w:t>
      </w:r>
      <w:r>
        <w:rPr>
          <w:rFonts w:ascii="Garamond" w:hAnsi="Garamond"/>
          <w:sz w:val="22"/>
          <w:szCs w:val="22"/>
        </w:rPr>
        <w:t>C</w:t>
      </w:r>
      <w:r w:rsidRPr="007E47B9">
        <w:rPr>
          <w:rFonts w:ascii="Garamond" w:hAnsi="Garamond"/>
          <w:sz w:val="22"/>
          <w:szCs w:val="22"/>
        </w:rPr>
        <w:t>ollege</w:t>
      </w:r>
      <w:r>
        <w:rPr>
          <w:rFonts w:ascii="Garamond" w:hAnsi="Garamond"/>
          <w:sz w:val="22"/>
          <w:szCs w:val="22"/>
        </w:rPr>
        <w:t>’</w:t>
      </w:r>
      <w:r w:rsidRPr="007E47B9">
        <w:rPr>
          <w:rFonts w:ascii="Garamond" w:hAnsi="Garamond"/>
          <w:sz w:val="22"/>
          <w:szCs w:val="22"/>
        </w:rPr>
        <w:t>s commitment to making TCNJ a strong community of teacher-</w:t>
      </w:r>
      <w:r>
        <w:rPr>
          <w:rFonts w:ascii="Garamond" w:hAnsi="Garamond"/>
          <w:sz w:val="22"/>
          <w:szCs w:val="22"/>
        </w:rPr>
        <w:t>scholars</w:t>
      </w:r>
      <w:r w:rsidRPr="007E47B9">
        <w:rPr>
          <w:rFonts w:ascii="Garamond" w:hAnsi="Garamond"/>
          <w:sz w:val="22"/>
          <w:szCs w:val="22"/>
        </w:rPr>
        <w:t xml:space="preserve"> and librarian-scholars. The program provides faculty members and librarians an alternate assignment within workload in order to have more time to engage in their scholarly, creative, or professional activities.</w:t>
      </w:r>
      <w:r>
        <w:rPr>
          <w:rFonts w:ascii="Garamond" w:hAnsi="Garamond"/>
          <w:sz w:val="22"/>
          <w:szCs w:val="22"/>
        </w:rPr>
        <w:t xml:space="preserve"> </w:t>
      </w:r>
      <w:r w:rsidRPr="007E47B9">
        <w:rPr>
          <w:rFonts w:ascii="Garamond" w:hAnsi="Garamond"/>
          <w:sz w:val="22"/>
          <w:szCs w:val="22"/>
        </w:rPr>
        <w:t xml:space="preserve"> SOSA awards may also be used for faculty </w:t>
      </w:r>
      <w:r>
        <w:rPr>
          <w:rFonts w:ascii="Garamond" w:hAnsi="Garamond"/>
          <w:sz w:val="22"/>
          <w:szCs w:val="22"/>
        </w:rPr>
        <w:t xml:space="preserve">and librarian </w:t>
      </w:r>
      <w:r w:rsidRPr="007E47B9">
        <w:rPr>
          <w:rFonts w:ascii="Garamond" w:hAnsi="Garamond"/>
          <w:sz w:val="22"/>
          <w:szCs w:val="22"/>
        </w:rPr>
        <w:t>scholarly</w:t>
      </w:r>
      <w:r>
        <w:rPr>
          <w:rFonts w:ascii="Garamond" w:hAnsi="Garamond"/>
          <w:sz w:val="22"/>
          <w:szCs w:val="22"/>
        </w:rPr>
        <w:t>, creative, or professional work, which</w:t>
      </w:r>
      <w:r w:rsidRPr="007E47B9">
        <w:rPr>
          <w:rFonts w:ascii="Garamond" w:hAnsi="Garamond"/>
          <w:sz w:val="22"/>
          <w:szCs w:val="22"/>
        </w:rPr>
        <w:t xml:space="preserve"> engage</w:t>
      </w:r>
      <w:r>
        <w:rPr>
          <w:rFonts w:ascii="Garamond" w:hAnsi="Garamond"/>
          <w:sz w:val="22"/>
          <w:szCs w:val="22"/>
        </w:rPr>
        <w:t>s</w:t>
      </w:r>
      <w:r w:rsidRPr="007E47B9">
        <w:rPr>
          <w:rFonts w:ascii="Garamond" w:hAnsi="Garamond"/>
          <w:sz w:val="22"/>
          <w:szCs w:val="22"/>
        </w:rPr>
        <w:t xml:space="preserve"> students as collaborators or apprentices. </w:t>
      </w:r>
      <w:r>
        <w:rPr>
          <w:rFonts w:ascii="Garamond" w:hAnsi="Garamond"/>
          <w:sz w:val="22"/>
          <w:szCs w:val="22"/>
        </w:rPr>
        <w:t xml:space="preserve"> The </w:t>
      </w:r>
      <w:r w:rsidRPr="007E47B9">
        <w:rPr>
          <w:rFonts w:ascii="Garamond" w:hAnsi="Garamond"/>
          <w:sz w:val="22"/>
          <w:szCs w:val="22"/>
        </w:rPr>
        <w:t>SOSA</w:t>
      </w:r>
      <w:r>
        <w:rPr>
          <w:rFonts w:ascii="Garamond" w:hAnsi="Garamond"/>
          <w:sz w:val="22"/>
          <w:szCs w:val="22"/>
        </w:rPr>
        <w:t xml:space="preserve"> program</w:t>
      </w:r>
      <w:r w:rsidRPr="007E47B9">
        <w:rPr>
          <w:rFonts w:ascii="Garamond" w:hAnsi="Garamond"/>
          <w:sz w:val="22"/>
          <w:szCs w:val="22"/>
        </w:rPr>
        <w:t xml:space="preserve"> </w:t>
      </w:r>
      <w:r>
        <w:rPr>
          <w:rFonts w:ascii="Garamond" w:hAnsi="Garamond"/>
          <w:sz w:val="22"/>
          <w:szCs w:val="22"/>
        </w:rPr>
        <w:t xml:space="preserve">is designed to support two equally important groups, including both a) </w:t>
      </w:r>
      <w:r w:rsidRPr="007E47B9">
        <w:rPr>
          <w:rFonts w:ascii="Garamond" w:hAnsi="Garamond"/>
          <w:sz w:val="22"/>
          <w:szCs w:val="22"/>
        </w:rPr>
        <w:t xml:space="preserve">new faculty members and librarians </w:t>
      </w:r>
      <w:r>
        <w:rPr>
          <w:rFonts w:ascii="Garamond" w:hAnsi="Garamond"/>
          <w:sz w:val="22"/>
          <w:szCs w:val="22"/>
        </w:rPr>
        <w:t xml:space="preserve">in </w:t>
      </w:r>
      <w:r w:rsidRPr="007E47B9">
        <w:rPr>
          <w:rFonts w:ascii="Garamond" w:hAnsi="Garamond"/>
          <w:sz w:val="22"/>
          <w:szCs w:val="22"/>
        </w:rPr>
        <w:t>establish</w:t>
      </w:r>
      <w:r>
        <w:rPr>
          <w:rFonts w:ascii="Garamond" w:hAnsi="Garamond"/>
          <w:sz w:val="22"/>
          <w:szCs w:val="22"/>
        </w:rPr>
        <w:t>ing</w:t>
      </w:r>
      <w:r w:rsidRPr="007E47B9">
        <w:rPr>
          <w:rFonts w:ascii="Garamond" w:hAnsi="Garamond"/>
          <w:sz w:val="22"/>
          <w:szCs w:val="22"/>
        </w:rPr>
        <w:t xml:space="preserve"> their agenda for </w:t>
      </w:r>
      <w:r>
        <w:rPr>
          <w:rFonts w:ascii="Garamond" w:hAnsi="Garamond"/>
          <w:sz w:val="22"/>
          <w:szCs w:val="22"/>
        </w:rPr>
        <w:t>scholarship</w:t>
      </w:r>
      <w:r w:rsidRPr="007E47B9">
        <w:rPr>
          <w:rFonts w:ascii="Garamond" w:hAnsi="Garamond"/>
          <w:sz w:val="22"/>
          <w:szCs w:val="22"/>
        </w:rPr>
        <w:t>, creative, or professional activity</w:t>
      </w:r>
      <w:r>
        <w:rPr>
          <w:rFonts w:ascii="Garamond" w:hAnsi="Garamond"/>
          <w:sz w:val="22"/>
          <w:szCs w:val="22"/>
        </w:rPr>
        <w:t xml:space="preserve">, and b) </w:t>
      </w:r>
      <w:r w:rsidRPr="007E47B9">
        <w:rPr>
          <w:rFonts w:ascii="Garamond" w:hAnsi="Garamond"/>
          <w:sz w:val="22"/>
          <w:szCs w:val="22"/>
        </w:rPr>
        <w:t xml:space="preserve">continuing faculty members and librarians </w:t>
      </w:r>
      <w:r>
        <w:rPr>
          <w:rFonts w:ascii="Garamond" w:hAnsi="Garamond"/>
          <w:sz w:val="22"/>
          <w:szCs w:val="22"/>
        </w:rPr>
        <w:t xml:space="preserve">in </w:t>
      </w:r>
      <w:r w:rsidRPr="007E47B9">
        <w:rPr>
          <w:rFonts w:ascii="Garamond" w:hAnsi="Garamond"/>
          <w:sz w:val="22"/>
          <w:szCs w:val="22"/>
        </w:rPr>
        <w:t>engag</w:t>
      </w:r>
      <w:r>
        <w:rPr>
          <w:rFonts w:ascii="Garamond" w:hAnsi="Garamond"/>
          <w:sz w:val="22"/>
          <w:szCs w:val="22"/>
        </w:rPr>
        <w:t>ing</w:t>
      </w:r>
      <w:r w:rsidRPr="007E47B9">
        <w:rPr>
          <w:rFonts w:ascii="Garamond" w:hAnsi="Garamond"/>
          <w:sz w:val="22"/>
          <w:szCs w:val="22"/>
        </w:rPr>
        <w:t xml:space="preserve"> in scholarship, creative, or professional activity. </w:t>
      </w:r>
    </w:p>
    <w:p w:rsidR="00CF00EC" w:rsidRDefault="00CF00EC" w:rsidP="00CF00EC">
      <w:pPr>
        <w:jc w:val="both"/>
        <w:rPr>
          <w:rFonts w:ascii="Garamond" w:hAnsi="Garamond"/>
          <w:sz w:val="22"/>
        </w:rPr>
      </w:pPr>
    </w:p>
    <w:p w:rsidR="00CF00EC" w:rsidRDefault="00CF00EC" w:rsidP="00CF00EC">
      <w:pPr>
        <w:pStyle w:val="HTMLPreformatted"/>
        <w:jc w:val="both"/>
        <w:rPr>
          <w:rFonts w:ascii="Garamond" w:hAnsi="Garamond"/>
          <w:sz w:val="22"/>
          <w:szCs w:val="22"/>
        </w:rPr>
      </w:pPr>
      <w:r w:rsidRPr="007E47B9">
        <w:rPr>
          <w:rFonts w:ascii="Garamond" w:hAnsi="Garamond"/>
          <w:sz w:val="22"/>
          <w:szCs w:val="22"/>
        </w:rPr>
        <w:t>The SOSA program is a competitive yet inclusive grant program as it provides faculty members and librarians with re</w:t>
      </w:r>
      <w:r>
        <w:rPr>
          <w:rFonts w:ascii="Garamond" w:hAnsi="Garamond"/>
          <w:sz w:val="22"/>
          <w:szCs w:val="22"/>
        </w:rPr>
        <w:t>-</w:t>
      </w:r>
      <w:r w:rsidRPr="007E47B9">
        <w:rPr>
          <w:rFonts w:ascii="Garamond" w:hAnsi="Garamond"/>
          <w:sz w:val="22"/>
          <w:szCs w:val="22"/>
        </w:rPr>
        <w:t xml:space="preserve">assigned time to expand their program of scholarly, creative, or professional activity beyond the level that is </w:t>
      </w:r>
      <w:r>
        <w:rPr>
          <w:rFonts w:ascii="Garamond" w:hAnsi="Garamond"/>
          <w:sz w:val="22"/>
          <w:szCs w:val="22"/>
        </w:rPr>
        <w:t xml:space="preserve">already </w:t>
      </w:r>
      <w:r w:rsidRPr="007E47B9">
        <w:rPr>
          <w:rFonts w:ascii="Garamond" w:hAnsi="Garamond"/>
          <w:sz w:val="22"/>
          <w:szCs w:val="22"/>
        </w:rPr>
        <w:t xml:space="preserve">expected </w:t>
      </w:r>
      <w:r>
        <w:rPr>
          <w:rFonts w:ascii="Garamond" w:hAnsi="Garamond"/>
          <w:sz w:val="22"/>
          <w:szCs w:val="22"/>
        </w:rPr>
        <w:t xml:space="preserve">and included </w:t>
      </w:r>
      <w:r w:rsidRPr="007E47B9">
        <w:rPr>
          <w:rFonts w:ascii="Garamond" w:hAnsi="Garamond"/>
          <w:sz w:val="22"/>
          <w:szCs w:val="22"/>
        </w:rPr>
        <w:t xml:space="preserve">within workload. </w:t>
      </w:r>
      <w:r>
        <w:rPr>
          <w:rFonts w:ascii="Garamond" w:hAnsi="Garamond"/>
          <w:sz w:val="22"/>
          <w:szCs w:val="22"/>
        </w:rPr>
        <w:t xml:space="preserve"> </w:t>
      </w:r>
      <w:r w:rsidRPr="007E47B9">
        <w:rPr>
          <w:rFonts w:ascii="Garamond" w:hAnsi="Garamond"/>
          <w:sz w:val="22"/>
          <w:szCs w:val="22"/>
        </w:rPr>
        <w:t>Successful proposals must be high quality and innovative and supported by the candidate</w:t>
      </w:r>
      <w:r>
        <w:rPr>
          <w:rFonts w:ascii="Garamond" w:hAnsi="Garamond"/>
          <w:sz w:val="22"/>
          <w:szCs w:val="22"/>
        </w:rPr>
        <w:t>’</w:t>
      </w:r>
      <w:r w:rsidRPr="007E47B9">
        <w:rPr>
          <w:rFonts w:ascii="Garamond" w:hAnsi="Garamond"/>
          <w:sz w:val="22"/>
          <w:szCs w:val="22"/>
        </w:rPr>
        <w:t xml:space="preserve">s area of expertise, track record, and academic goals. </w:t>
      </w:r>
      <w:r>
        <w:rPr>
          <w:rFonts w:ascii="Garamond" w:hAnsi="Garamond"/>
          <w:sz w:val="22"/>
          <w:szCs w:val="22"/>
        </w:rPr>
        <w:t xml:space="preserve"> </w:t>
      </w:r>
      <w:r w:rsidRPr="007E47B9">
        <w:rPr>
          <w:rFonts w:ascii="Garamond" w:hAnsi="Garamond"/>
          <w:sz w:val="22"/>
          <w:szCs w:val="22"/>
        </w:rPr>
        <w:t>Given that SOSA alternate assignment is possible onl</w:t>
      </w:r>
      <w:r>
        <w:rPr>
          <w:rFonts w:ascii="Garamond" w:hAnsi="Garamond"/>
          <w:sz w:val="22"/>
          <w:szCs w:val="22"/>
        </w:rPr>
        <w:t xml:space="preserve">y with budgetary resources, </w:t>
      </w:r>
      <w:r w:rsidRPr="007E47B9">
        <w:rPr>
          <w:rFonts w:ascii="Garamond" w:hAnsi="Garamond"/>
          <w:sz w:val="22"/>
          <w:szCs w:val="22"/>
        </w:rPr>
        <w:t>SOSA grants are awarded</w:t>
      </w:r>
      <w:r>
        <w:rPr>
          <w:rFonts w:ascii="Garamond" w:hAnsi="Garamond"/>
          <w:sz w:val="22"/>
          <w:szCs w:val="22"/>
        </w:rPr>
        <w:t xml:space="preserve"> </w:t>
      </w:r>
      <w:r w:rsidRPr="007E47B9">
        <w:rPr>
          <w:rFonts w:ascii="Garamond" w:hAnsi="Garamond"/>
          <w:sz w:val="22"/>
          <w:szCs w:val="22"/>
        </w:rPr>
        <w:t>in accordance with the following enduring principles:</w:t>
      </w:r>
    </w:p>
    <w:p w:rsidR="00CF00EC" w:rsidRDefault="00CF00EC" w:rsidP="00CF00EC">
      <w:pPr>
        <w:jc w:val="both"/>
        <w:rPr>
          <w:rFonts w:ascii="Garamond" w:hAnsi="Garamond"/>
          <w:sz w:val="22"/>
        </w:rPr>
      </w:pPr>
    </w:p>
    <w:p w:rsidR="00E44A48" w:rsidRDefault="00CF00EC" w:rsidP="00DB3921">
      <w:pPr>
        <w:pStyle w:val="ColorfulList-Accent11"/>
        <w:numPr>
          <w:ilvl w:val="0"/>
          <w:numId w:val="30"/>
        </w:numPr>
        <w:contextualSpacing/>
        <w:jc w:val="both"/>
        <w:rPr>
          <w:rFonts w:ascii="Garamond" w:hAnsi="Garamond"/>
          <w:sz w:val="22"/>
          <w:szCs w:val="22"/>
        </w:rPr>
      </w:pPr>
      <w:r>
        <w:rPr>
          <w:rFonts w:ascii="Garamond" w:hAnsi="Garamond"/>
          <w:sz w:val="22"/>
          <w:szCs w:val="22"/>
        </w:rPr>
        <w:t xml:space="preserve">The </w:t>
      </w:r>
      <w:r w:rsidRPr="007E47B9">
        <w:rPr>
          <w:rFonts w:ascii="Garamond" w:hAnsi="Garamond"/>
          <w:sz w:val="22"/>
          <w:szCs w:val="22"/>
        </w:rPr>
        <w:t xml:space="preserve">SOSA </w:t>
      </w:r>
      <w:r>
        <w:rPr>
          <w:rFonts w:ascii="Garamond" w:hAnsi="Garamond"/>
          <w:sz w:val="22"/>
          <w:szCs w:val="22"/>
        </w:rPr>
        <w:t>program is a competitive process that supports prospective scholarly, creative, or professional</w:t>
      </w:r>
      <w:r w:rsidRPr="007E47B9">
        <w:rPr>
          <w:rFonts w:ascii="Garamond" w:hAnsi="Garamond"/>
          <w:sz w:val="22"/>
          <w:szCs w:val="22"/>
        </w:rPr>
        <w:t xml:space="preserve"> </w:t>
      </w:r>
      <w:r>
        <w:rPr>
          <w:rFonts w:ascii="Garamond" w:hAnsi="Garamond"/>
          <w:sz w:val="22"/>
          <w:szCs w:val="22"/>
        </w:rPr>
        <w:t>work.  The review process is conducted in a fair, transparent, and efficient manner.</w:t>
      </w:r>
    </w:p>
    <w:p w:rsidR="00CF00EC" w:rsidRDefault="00CF00EC" w:rsidP="00E44A48">
      <w:pPr>
        <w:pStyle w:val="ColorfulList-Accent11"/>
        <w:ind w:left="360"/>
        <w:contextualSpacing/>
        <w:jc w:val="both"/>
        <w:rPr>
          <w:rFonts w:ascii="Garamond" w:hAnsi="Garamond"/>
          <w:sz w:val="22"/>
          <w:szCs w:val="22"/>
        </w:rPr>
      </w:pPr>
    </w:p>
    <w:p w:rsidR="00E44A48" w:rsidRDefault="00CF00EC" w:rsidP="00DB3921">
      <w:pPr>
        <w:pStyle w:val="ColorfulList-Accent11"/>
        <w:numPr>
          <w:ilvl w:val="0"/>
          <w:numId w:val="30"/>
        </w:numPr>
        <w:contextualSpacing/>
        <w:jc w:val="both"/>
        <w:rPr>
          <w:rFonts w:ascii="Garamond" w:hAnsi="Garamond"/>
          <w:sz w:val="22"/>
          <w:szCs w:val="22"/>
        </w:rPr>
      </w:pPr>
      <w:r w:rsidRPr="00CF00EC">
        <w:rPr>
          <w:rFonts w:ascii="Garamond" w:hAnsi="Garamond"/>
          <w:sz w:val="22"/>
          <w:szCs w:val="22"/>
        </w:rPr>
        <w:t xml:space="preserve">The intellectual merit of the proposed scholarly, creative, and/or professional program/project for SOSA alternate assignment is given the greatest weight in the evaluation of any SOSA proposal.  </w:t>
      </w:r>
    </w:p>
    <w:p w:rsidR="00CF00EC" w:rsidRPr="00CF00EC" w:rsidRDefault="00CF00EC" w:rsidP="00E44A48">
      <w:pPr>
        <w:pStyle w:val="ColorfulList-Accent11"/>
        <w:ind w:left="360"/>
        <w:contextualSpacing/>
        <w:jc w:val="both"/>
        <w:rPr>
          <w:rFonts w:ascii="Garamond" w:hAnsi="Garamond"/>
          <w:sz w:val="22"/>
          <w:szCs w:val="22"/>
        </w:rPr>
      </w:pPr>
    </w:p>
    <w:p w:rsidR="00E44A48" w:rsidRDefault="00CF00EC" w:rsidP="00DB3921">
      <w:pPr>
        <w:pStyle w:val="ColorfulList-Accent11"/>
        <w:numPr>
          <w:ilvl w:val="0"/>
          <w:numId w:val="30"/>
        </w:numPr>
        <w:contextualSpacing/>
        <w:jc w:val="both"/>
        <w:rPr>
          <w:rFonts w:ascii="Garamond" w:hAnsi="Garamond"/>
          <w:sz w:val="22"/>
          <w:szCs w:val="22"/>
        </w:rPr>
      </w:pPr>
      <w:r w:rsidRPr="00CF00EC">
        <w:rPr>
          <w:rFonts w:ascii="Garamond" w:hAnsi="Garamond"/>
          <w:sz w:val="22"/>
          <w:szCs w:val="22"/>
        </w:rPr>
        <w:t>The scholarly, creative, and/or professional qualifications</w:t>
      </w:r>
      <w:r>
        <w:rPr>
          <w:rFonts w:ascii="Garamond" w:hAnsi="Garamond"/>
          <w:sz w:val="22"/>
          <w:szCs w:val="22"/>
        </w:rPr>
        <w:t xml:space="preserve"> </w:t>
      </w:r>
      <w:r w:rsidRPr="00CF00EC">
        <w:rPr>
          <w:rFonts w:ascii="Garamond" w:hAnsi="Garamond"/>
          <w:sz w:val="22"/>
          <w:szCs w:val="22"/>
        </w:rPr>
        <w:t>of the applicant are also given consideration in the review process.  The applicant’s area of expertise, track record, and academic goals should support the proposed SOSA work and enhance the scholarly culture at the College.</w:t>
      </w:r>
    </w:p>
    <w:p w:rsidR="00CF00EC" w:rsidRDefault="00CF00EC" w:rsidP="00E44A48">
      <w:pPr>
        <w:pStyle w:val="ColorfulList-Accent11"/>
        <w:ind w:left="360"/>
        <w:contextualSpacing/>
        <w:jc w:val="both"/>
        <w:rPr>
          <w:rFonts w:ascii="Garamond" w:hAnsi="Garamond"/>
          <w:sz w:val="22"/>
          <w:szCs w:val="22"/>
        </w:rPr>
      </w:pPr>
    </w:p>
    <w:p w:rsidR="00FE61E0" w:rsidRPr="00CF00EC" w:rsidRDefault="00CF00EC" w:rsidP="00DB3921">
      <w:pPr>
        <w:pStyle w:val="ColorfulList-Accent11"/>
        <w:numPr>
          <w:ilvl w:val="0"/>
          <w:numId w:val="30"/>
        </w:numPr>
        <w:contextualSpacing/>
        <w:jc w:val="both"/>
        <w:rPr>
          <w:rFonts w:ascii="Garamond" w:hAnsi="Garamond"/>
          <w:sz w:val="22"/>
          <w:szCs w:val="22"/>
        </w:rPr>
      </w:pPr>
      <w:r>
        <w:rPr>
          <w:rFonts w:ascii="Garamond" w:hAnsi="Garamond"/>
          <w:sz w:val="22"/>
          <w:szCs w:val="22"/>
        </w:rPr>
        <w:t>T</w:t>
      </w:r>
      <w:r w:rsidRPr="007E47B9">
        <w:rPr>
          <w:rFonts w:ascii="Garamond" w:hAnsi="Garamond"/>
          <w:sz w:val="22"/>
          <w:szCs w:val="22"/>
        </w:rPr>
        <w:t>he review process takes into consideration the broader impacts on both the applicant</w:t>
      </w:r>
      <w:r>
        <w:rPr>
          <w:rFonts w:ascii="Garamond" w:hAnsi="Garamond"/>
          <w:sz w:val="22"/>
          <w:szCs w:val="22"/>
        </w:rPr>
        <w:t>’</w:t>
      </w:r>
      <w:r w:rsidRPr="007E47B9">
        <w:rPr>
          <w:rFonts w:ascii="Garamond" w:hAnsi="Garamond"/>
          <w:sz w:val="22"/>
          <w:szCs w:val="22"/>
        </w:rPr>
        <w:t>s scholarly, creative, or professional program and the overall teacher-scholar and librarian-scholar culture at TCNJ.</w:t>
      </w:r>
    </w:p>
    <w:p w:rsidR="00FE61E0" w:rsidRDefault="00FE61E0" w:rsidP="00FE61E0">
      <w:pPr>
        <w:tabs>
          <w:tab w:val="left" w:pos="360"/>
        </w:tabs>
        <w:jc w:val="both"/>
        <w:rPr>
          <w:rFonts w:ascii="Garamond" w:hAnsi="Garamond"/>
          <w:b/>
          <w:smallCaps/>
        </w:rPr>
      </w:pPr>
    </w:p>
    <w:p w:rsidR="00942F77" w:rsidRDefault="00942F77" w:rsidP="00C81511">
      <w:pPr>
        <w:jc w:val="both"/>
        <w:rPr>
          <w:rFonts w:ascii="Garamond" w:hAnsi="Garamond"/>
          <w:sz w:val="22"/>
        </w:rPr>
      </w:pPr>
      <w:r w:rsidRPr="00E6276E">
        <w:rPr>
          <w:rFonts w:ascii="Garamond" w:hAnsi="Garamond"/>
          <w:sz w:val="22"/>
        </w:rPr>
        <w:t>All full-time, tenure-line faculty members and librarians, regardless of tenure status or rank, are eligible and encouraged to apply for SOSA awards.  The teaching or administrative needs of any Program, Department, or School cannot be used to discourage any applicant from applying.</w:t>
      </w:r>
    </w:p>
    <w:p w:rsidR="00942F77" w:rsidRPr="00E6276E" w:rsidRDefault="00942F77" w:rsidP="00942F77">
      <w:pPr>
        <w:jc w:val="both"/>
        <w:rPr>
          <w:rFonts w:ascii="Garamond" w:hAnsi="Garamond"/>
          <w:sz w:val="22"/>
        </w:rPr>
      </w:pPr>
    </w:p>
    <w:p w:rsidR="00942F77" w:rsidRDefault="004F5126" w:rsidP="004F5126">
      <w:pPr>
        <w:rPr>
          <w:rFonts w:ascii="Garamond" w:hAnsi="Garamond"/>
          <w:b/>
          <w:sz w:val="16"/>
        </w:rPr>
      </w:pPr>
      <w:r>
        <w:rPr>
          <w:rFonts w:ascii="Garamond" w:hAnsi="Garamond"/>
          <w:b/>
          <w:smallCaps/>
        </w:rPr>
        <w:br w:type="page"/>
      </w:r>
      <w:r w:rsidR="00942F77">
        <w:rPr>
          <w:rFonts w:ascii="Garamond" w:hAnsi="Garamond"/>
          <w:b/>
          <w:smallCaps/>
        </w:rPr>
        <w:t>Distribution and Duration of Awards</w:t>
      </w:r>
    </w:p>
    <w:p w:rsidR="00942F77" w:rsidRPr="002D3826" w:rsidRDefault="00194244" w:rsidP="00942F7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43180</wp:posOffset>
                </wp:positionV>
                <wp:extent cx="5943600" cy="13970"/>
                <wp:effectExtent l="9525" t="5080" r="9525" b="952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397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3qGwIAAC0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" strokecolor="#339"/>
            </w:pict>
          </mc:Fallback>
        </mc:AlternateContent>
      </w:r>
    </w:p>
    <w:p w:rsidR="00942F77" w:rsidRPr="00E6276E" w:rsidRDefault="00942F77" w:rsidP="00942F77">
      <w:pPr>
        <w:jc w:val="both"/>
        <w:rPr>
          <w:rFonts w:ascii="Garamond" w:hAnsi="Garamond"/>
          <w:sz w:val="22"/>
        </w:rPr>
      </w:pPr>
      <w:r w:rsidRPr="00E6276E">
        <w:rPr>
          <w:rFonts w:ascii="Garamond" w:hAnsi="Garamond"/>
          <w:sz w:val="22"/>
        </w:rPr>
        <w:t xml:space="preserve">Awards are distributed competitively according to a procedure recommended by the Committee on Faculty Affairs (CFA) and approved through the governance process in consultation with the Union.  A campus-wide SOSA </w:t>
      </w:r>
      <w:r>
        <w:rPr>
          <w:rFonts w:ascii="Garamond" w:hAnsi="Garamond"/>
          <w:sz w:val="22"/>
        </w:rPr>
        <w:t>C</w:t>
      </w:r>
      <w:r w:rsidRPr="00E6276E">
        <w:rPr>
          <w:rFonts w:ascii="Garamond" w:hAnsi="Garamond"/>
          <w:sz w:val="22"/>
        </w:rPr>
        <w:t xml:space="preserve">ommittee, made up of appointed members of the faculty, evaluates applications. </w:t>
      </w:r>
    </w:p>
    <w:p w:rsidR="00942F77" w:rsidRPr="00E6276E" w:rsidRDefault="00942F77" w:rsidP="00942F77">
      <w:pPr>
        <w:jc w:val="both"/>
        <w:rPr>
          <w:rFonts w:ascii="Garamond" w:hAnsi="Garamond"/>
          <w:sz w:val="22"/>
        </w:rPr>
      </w:pPr>
    </w:p>
    <w:p w:rsidR="00942F77" w:rsidRPr="00E6276E" w:rsidRDefault="00942F77" w:rsidP="00942F77">
      <w:pPr>
        <w:jc w:val="both"/>
        <w:rPr>
          <w:rFonts w:ascii="Garamond" w:hAnsi="Garamond"/>
          <w:sz w:val="22"/>
        </w:rPr>
      </w:pPr>
      <w:r w:rsidRPr="00E6276E">
        <w:rPr>
          <w:rFonts w:ascii="Garamond" w:hAnsi="Garamond"/>
          <w:sz w:val="22"/>
        </w:rPr>
        <w:t>A total</w:t>
      </w:r>
      <w:r>
        <w:rPr>
          <w:rFonts w:ascii="Garamond" w:hAnsi="Garamond"/>
          <w:sz w:val="22"/>
        </w:rPr>
        <w:t xml:space="preserve"> of 96 awards, of three faculty-weighted-</w:t>
      </w:r>
      <w:r w:rsidRPr="00E6276E">
        <w:rPr>
          <w:rFonts w:ascii="Garamond" w:hAnsi="Garamond"/>
          <w:sz w:val="22"/>
        </w:rPr>
        <w:t xml:space="preserve">hours each, </w:t>
      </w:r>
      <w:r>
        <w:rPr>
          <w:rFonts w:ascii="Garamond" w:hAnsi="Garamond"/>
          <w:sz w:val="22"/>
        </w:rPr>
        <w:t>are</w:t>
      </w:r>
      <w:r w:rsidRPr="00E6276E">
        <w:rPr>
          <w:rFonts w:ascii="Garamond" w:hAnsi="Garamond"/>
          <w:sz w:val="22"/>
        </w:rPr>
        <w:t xml:space="preserve"> distributed each academic year.  This total includes the number of awards that are ongoing from the previous year. The SOSA program now uses a system of two-year awards for all successful applicants. Approximately half of the 96 SOSA slots are awarded each year. A small number of one-year awards may also become available as a result of recipients relinquishing one year of a two-year award. All applicants are assumed to be applying for a two-year award; they need not indicate in the proposal that they are seeking a two-year award.</w:t>
      </w:r>
    </w:p>
    <w:p w:rsidR="00942F77" w:rsidRPr="006213B8" w:rsidRDefault="00942F77" w:rsidP="00942F77">
      <w:pPr>
        <w:tabs>
          <w:tab w:val="left" w:pos="360"/>
        </w:tabs>
        <w:jc w:val="both"/>
        <w:rPr>
          <w:rFonts w:ascii="Garamond" w:hAnsi="Garamond"/>
          <w:b/>
          <w:smallCaps/>
        </w:rPr>
      </w:pPr>
    </w:p>
    <w:p w:rsidR="009B1797" w:rsidRDefault="009B1797" w:rsidP="009B1797">
      <w:pPr>
        <w:tabs>
          <w:tab w:val="left" w:pos="360"/>
        </w:tabs>
        <w:jc w:val="both"/>
        <w:rPr>
          <w:rFonts w:ascii="Garamond" w:hAnsi="Garamond"/>
          <w:b/>
          <w:smallCaps/>
        </w:rPr>
      </w:pPr>
      <w:r>
        <w:rPr>
          <w:rFonts w:ascii="Garamond" w:hAnsi="Garamond"/>
          <w:b/>
          <w:smallCaps/>
        </w:rPr>
        <w:t>Conditions for Alternate Assignment in SOSA</w:t>
      </w:r>
    </w:p>
    <w:p w:rsidR="009B1797" w:rsidRPr="002D3826" w:rsidRDefault="00194244" w:rsidP="009B179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bFgIAACk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" strokecolor="#339"/>
            </w:pict>
          </mc:Fallback>
        </mc:AlternateContent>
      </w:r>
    </w:p>
    <w:p w:rsidR="00942F77" w:rsidRDefault="00942F77" w:rsidP="00942F77">
      <w:pPr>
        <w:jc w:val="both"/>
        <w:rPr>
          <w:rFonts w:ascii="Garamond" w:hAnsi="Garamond"/>
          <w:sz w:val="22"/>
        </w:rPr>
      </w:pPr>
      <w:r>
        <w:rPr>
          <w:rFonts w:ascii="Garamond" w:hAnsi="Garamond"/>
          <w:sz w:val="22"/>
        </w:rPr>
        <w:t>The following conditions apply to all faculty members receiving SOSA awards:</w:t>
      </w:r>
    </w:p>
    <w:p w:rsidR="00942F77" w:rsidRDefault="00942F77" w:rsidP="00942F77">
      <w:pPr>
        <w:jc w:val="both"/>
        <w:rPr>
          <w:rFonts w:ascii="Garamond" w:hAnsi="Garamond"/>
          <w:sz w:val="22"/>
        </w:rPr>
      </w:pPr>
    </w:p>
    <w:p w:rsidR="00280ADD" w:rsidRDefault="00942F77" w:rsidP="00280ADD">
      <w:pPr>
        <w:numPr>
          <w:ilvl w:val="0"/>
          <w:numId w:val="14"/>
        </w:numPr>
        <w:tabs>
          <w:tab w:val="clear" w:pos="1080"/>
          <w:tab w:val="num" w:pos="720"/>
        </w:tabs>
        <w:ind w:left="720"/>
        <w:jc w:val="both"/>
        <w:rPr>
          <w:rFonts w:ascii="Garamond" w:hAnsi="Garamond"/>
          <w:sz w:val="22"/>
        </w:rPr>
      </w:pPr>
      <w:r w:rsidRPr="00896A11">
        <w:rPr>
          <w:rFonts w:ascii="Garamond" w:hAnsi="Garamond"/>
          <w:sz w:val="22"/>
        </w:rPr>
        <w:t>Recipients of SOSA alternate assignments may not accept overload course assignments during the same academic year that she/he holds the award.  Overload that does not add-up to a course, such as 0.2 or 0.5 faculty</w:t>
      </w:r>
      <w:r>
        <w:rPr>
          <w:rFonts w:ascii="Garamond" w:hAnsi="Garamond"/>
          <w:sz w:val="22"/>
        </w:rPr>
        <w:t>-</w:t>
      </w:r>
      <w:r w:rsidRPr="00896A11">
        <w:rPr>
          <w:rFonts w:ascii="Garamond" w:hAnsi="Garamond"/>
          <w:sz w:val="22"/>
        </w:rPr>
        <w:t>weighted</w:t>
      </w:r>
      <w:r>
        <w:rPr>
          <w:rFonts w:ascii="Garamond" w:hAnsi="Garamond"/>
          <w:sz w:val="22"/>
        </w:rPr>
        <w:t>-</w:t>
      </w:r>
      <w:r w:rsidRPr="00896A11">
        <w:rPr>
          <w:rFonts w:ascii="Garamond" w:hAnsi="Garamond"/>
          <w:sz w:val="22"/>
        </w:rPr>
        <w:t>hours</w:t>
      </w:r>
      <w:r w:rsidR="00BE0377">
        <w:rPr>
          <w:rFonts w:ascii="Garamond" w:hAnsi="Garamond"/>
          <w:sz w:val="22"/>
        </w:rPr>
        <w:t xml:space="preserve"> (FWH)</w:t>
      </w:r>
      <w:r w:rsidRPr="00896A11">
        <w:rPr>
          <w:rFonts w:ascii="Garamond" w:hAnsi="Garamond"/>
          <w:sz w:val="22"/>
        </w:rPr>
        <w:t>, is permitted.</w:t>
      </w:r>
      <w:r w:rsidRPr="00852C78">
        <w:rPr>
          <w:rFonts w:ascii="Garamond" w:hAnsi="Garamond"/>
          <w:sz w:val="22"/>
        </w:rPr>
        <w:t xml:space="preserve"> </w:t>
      </w:r>
      <w:r w:rsidR="00BE0377">
        <w:rPr>
          <w:rFonts w:ascii="Garamond" w:hAnsi="Garamond"/>
          <w:sz w:val="22"/>
        </w:rPr>
        <w:t>O</w:t>
      </w:r>
      <w:r>
        <w:rPr>
          <w:rFonts w:ascii="Garamond" w:hAnsi="Garamond"/>
          <w:sz w:val="22"/>
        </w:rPr>
        <w:t xml:space="preserve">verloads totaling more than 3 FWH during a SOSA year require </w:t>
      </w:r>
      <w:r w:rsidR="00AE6A02">
        <w:rPr>
          <w:rFonts w:ascii="Garamond" w:hAnsi="Garamond"/>
          <w:sz w:val="22"/>
        </w:rPr>
        <w:t>P</w:t>
      </w:r>
      <w:r>
        <w:rPr>
          <w:rFonts w:ascii="Garamond" w:hAnsi="Garamond"/>
          <w:sz w:val="22"/>
        </w:rPr>
        <w:t>rovost</w:t>
      </w:r>
      <w:r w:rsidR="00FE61E0">
        <w:rPr>
          <w:rFonts w:ascii="Garamond" w:hAnsi="Garamond"/>
          <w:sz w:val="22"/>
        </w:rPr>
        <w:t>’</w:t>
      </w:r>
      <w:r>
        <w:rPr>
          <w:rFonts w:ascii="Garamond" w:hAnsi="Garamond"/>
          <w:sz w:val="22"/>
        </w:rPr>
        <w:t>s approval.</w:t>
      </w:r>
    </w:p>
    <w:p w:rsidR="00AA14A3" w:rsidRDefault="00AA14A3">
      <w:pPr>
        <w:tabs>
          <w:tab w:val="num" w:pos="720"/>
        </w:tabs>
        <w:ind w:left="720" w:hanging="360"/>
        <w:jc w:val="both"/>
        <w:rPr>
          <w:rFonts w:ascii="Garamond" w:hAnsi="Garamond"/>
          <w:sz w:val="22"/>
          <w:highlight w:val="yellow"/>
        </w:rPr>
      </w:pPr>
    </w:p>
    <w:p w:rsidR="00AA14A3" w:rsidRDefault="00942F77">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 xml:space="preserve">Faculty members </w:t>
      </w:r>
      <w:r w:rsidR="00BE0377">
        <w:rPr>
          <w:rFonts w:ascii="Garamond" w:hAnsi="Garamond"/>
          <w:i w:val="0"/>
          <w:sz w:val="22"/>
        </w:rPr>
        <w:t>and librarians</w:t>
      </w:r>
      <w:r w:rsidR="00BE0377" w:rsidRPr="00896A11">
        <w:rPr>
          <w:rFonts w:ascii="Garamond" w:hAnsi="Garamond"/>
          <w:i w:val="0"/>
          <w:sz w:val="22"/>
        </w:rPr>
        <w:t xml:space="preserve"> </w:t>
      </w:r>
      <w:r w:rsidRPr="00896A11">
        <w:rPr>
          <w:rFonts w:ascii="Garamond" w:hAnsi="Garamond"/>
          <w:i w:val="0"/>
          <w:sz w:val="22"/>
        </w:rPr>
        <w:t xml:space="preserve">who apply for both a sabbatical and a SOSA award at the same time must choose to accept one or the other if both are awarded.  Those who choose a sabbatical forfeit the SOSA award for the sabbatical year.  </w:t>
      </w:r>
      <w:r w:rsidR="00BE0377">
        <w:rPr>
          <w:rFonts w:ascii="Garamond" w:hAnsi="Garamond"/>
          <w:i w:val="0"/>
          <w:sz w:val="22"/>
        </w:rPr>
        <w:t>Applicants</w:t>
      </w:r>
      <w:r w:rsidRPr="00896A11">
        <w:rPr>
          <w:rFonts w:ascii="Garamond" w:hAnsi="Garamond"/>
          <w:i w:val="0"/>
          <w:sz w:val="22"/>
        </w:rPr>
        <w:t xml:space="preserve"> may not </w:t>
      </w:r>
      <w:r w:rsidRPr="00896A11" w:rsidDel="00707CE6">
        <w:rPr>
          <w:rFonts w:ascii="Garamond" w:hAnsi="Garamond"/>
          <w:i w:val="0"/>
          <w:sz w:val="22"/>
        </w:rPr>
        <w:t>receive</w:t>
      </w:r>
      <w:r w:rsidRPr="00896A11">
        <w:rPr>
          <w:rFonts w:ascii="Garamond" w:hAnsi="Garamond"/>
          <w:i w:val="0"/>
          <w:sz w:val="22"/>
        </w:rPr>
        <w:t xml:space="preserve"> both sabbatical leave (whole- or half-year) and a SOSA award during the same academic year.  If a faculty member</w:t>
      </w:r>
      <w:r w:rsidR="00BE0377">
        <w:rPr>
          <w:rFonts w:ascii="Garamond" w:hAnsi="Garamond"/>
          <w:i w:val="0"/>
          <w:sz w:val="22"/>
        </w:rPr>
        <w:t xml:space="preserve"> or librarian</w:t>
      </w:r>
      <w:r w:rsidRPr="00896A11">
        <w:rPr>
          <w:rFonts w:ascii="Garamond" w:hAnsi="Garamond"/>
          <w:i w:val="0"/>
          <w:sz w:val="22"/>
        </w:rPr>
        <w:t xml:space="preserve"> decides to take a sabbatical (whole- or half-year) during one year of a two-year SOSA award, the SOSA award is forfeited for that year. </w:t>
      </w:r>
    </w:p>
    <w:p w:rsidR="00AA14A3" w:rsidRDefault="00942F77">
      <w:pPr>
        <w:pStyle w:val="BodyTextIndent"/>
        <w:tabs>
          <w:tab w:val="num" w:pos="720"/>
        </w:tabs>
        <w:ind w:hanging="360"/>
        <w:jc w:val="both"/>
        <w:rPr>
          <w:rFonts w:ascii="Garamond" w:hAnsi="Garamond"/>
          <w:i w:val="0"/>
          <w:sz w:val="22"/>
        </w:rPr>
      </w:pPr>
      <w:r w:rsidRPr="00896A11">
        <w:rPr>
          <w:rFonts w:ascii="Garamond" w:hAnsi="Garamond"/>
          <w:i w:val="0"/>
          <w:sz w:val="22"/>
        </w:rPr>
        <w:t xml:space="preserve"> </w:t>
      </w:r>
    </w:p>
    <w:p w:rsidR="00AA14A3" w:rsidRDefault="00942F77">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 xml:space="preserve">Applicants who apply unsuccessfully for </w:t>
      </w:r>
      <w:r>
        <w:rPr>
          <w:rFonts w:ascii="Garamond" w:hAnsi="Garamond"/>
          <w:i w:val="0"/>
          <w:sz w:val="22"/>
        </w:rPr>
        <w:t xml:space="preserve">a </w:t>
      </w:r>
      <w:r w:rsidRPr="00896A11">
        <w:rPr>
          <w:rFonts w:ascii="Garamond" w:hAnsi="Garamond"/>
          <w:i w:val="0"/>
          <w:sz w:val="22"/>
        </w:rPr>
        <w:t xml:space="preserve">SOSA </w:t>
      </w:r>
      <w:r>
        <w:rPr>
          <w:rFonts w:ascii="Garamond" w:hAnsi="Garamond"/>
          <w:i w:val="0"/>
          <w:sz w:val="22"/>
        </w:rPr>
        <w:t xml:space="preserve">award </w:t>
      </w:r>
      <w:r w:rsidRPr="00896A11">
        <w:rPr>
          <w:rFonts w:ascii="Garamond" w:hAnsi="Garamond"/>
          <w:i w:val="0"/>
          <w:sz w:val="22"/>
        </w:rPr>
        <w:t xml:space="preserve">in one year may reapply in subsequent years. </w:t>
      </w:r>
    </w:p>
    <w:p w:rsidR="00AA14A3" w:rsidRDefault="00AA14A3">
      <w:pPr>
        <w:pStyle w:val="BodyTextIndent"/>
        <w:tabs>
          <w:tab w:val="num" w:pos="720"/>
        </w:tabs>
        <w:ind w:hanging="360"/>
        <w:jc w:val="both"/>
        <w:rPr>
          <w:rFonts w:ascii="Garamond" w:hAnsi="Garamond"/>
          <w:i w:val="0"/>
          <w:sz w:val="22"/>
        </w:rPr>
      </w:pPr>
    </w:p>
    <w:p w:rsidR="00AA14A3" w:rsidRDefault="00942F77">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SOSA awards may not be used to reduce any full-time faculty member</w:t>
      </w:r>
      <w:r w:rsidR="00FE61E0">
        <w:rPr>
          <w:rFonts w:ascii="Garamond" w:hAnsi="Garamond"/>
          <w:i w:val="0"/>
          <w:sz w:val="22"/>
        </w:rPr>
        <w:t>’</w:t>
      </w:r>
      <w:r w:rsidRPr="00896A11">
        <w:rPr>
          <w:rFonts w:ascii="Garamond" w:hAnsi="Garamond"/>
          <w:i w:val="0"/>
          <w:sz w:val="22"/>
        </w:rPr>
        <w:t xml:space="preserve">s teaching load below one course unit per academic year. </w:t>
      </w:r>
    </w:p>
    <w:p w:rsidR="00AA14A3" w:rsidRDefault="00AA14A3">
      <w:pPr>
        <w:pStyle w:val="ColorfulList-Accent11"/>
        <w:tabs>
          <w:tab w:val="num" w:pos="720"/>
        </w:tabs>
        <w:ind w:hanging="360"/>
        <w:jc w:val="both"/>
        <w:rPr>
          <w:rFonts w:ascii="Garamond" w:hAnsi="Garamond"/>
          <w:i/>
          <w:sz w:val="22"/>
        </w:rPr>
      </w:pPr>
    </w:p>
    <w:p w:rsidR="00AA14A3" w:rsidRDefault="00942F77">
      <w:pPr>
        <w:pStyle w:val="BodyTextIndent"/>
        <w:numPr>
          <w:ilvl w:val="0"/>
          <w:numId w:val="14"/>
        </w:numPr>
        <w:tabs>
          <w:tab w:val="clear" w:pos="1080"/>
          <w:tab w:val="num" w:pos="720"/>
        </w:tabs>
        <w:ind w:left="720"/>
        <w:jc w:val="both"/>
        <w:rPr>
          <w:rFonts w:ascii="Garamond" w:hAnsi="Garamond"/>
          <w:i w:val="0"/>
          <w:sz w:val="22"/>
        </w:rPr>
      </w:pPr>
      <w:r w:rsidRPr="00896A11">
        <w:rPr>
          <w:rFonts w:ascii="Garamond" w:hAnsi="Garamond"/>
          <w:i w:val="0"/>
          <w:sz w:val="22"/>
        </w:rPr>
        <w:t xml:space="preserve">Faculty members </w:t>
      </w:r>
      <w:r w:rsidR="00BE0377">
        <w:rPr>
          <w:rFonts w:ascii="Garamond" w:hAnsi="Garamond"/>
          <w:i w:val="0"/>
          <w:sz w:val="22"/>
        </w:rPr>
        <w:t>or lib</w:t>
      </w:r>
      <w:r w:rsidR="00B556C5">
        <w:rPr>
          <w:rFonts w:ascii="Garamond" w:hAnsi="Garamond"/>
          <w:i w:val="0"/>
          <w:sz w:val="22"/>
        </w:rPr>
        <w:t>r</w:t>
      </w:r>
      <w:r w:rsidR="00BE0377">
        <w:rPr>
          <w:rFonts w:ascii="Garamond" w:hAnsi="Garamond"/>
          <w:i w:val="0"/>
          <w:sz w:val="22"/>
        </w:rPr>
        <w:t xml:space="preserve">arians </w:t>
      </w:r>
      <w:r w:rsidRPr="00896A11">
        <w:rPr>
          <w:rFonts w:ascii="Garamond" w:hAnsi="Garamond"/>
          <w:i w:val="0"/>
          <w:sz w:val="22"/>
        </w:rPr>
        <w:t>who are denied reappointment or tenure forfeit any SOSA award for the final year of employment.</w:t>
      </w:r>
    </w:p>
    <w:p w:rsidR="00942F77" w:rsidRPr="006213B8" w:rsidRDefault="00942F77" w:rsidP="00942F77">
      <w:pPr>
        <w:tabs>
          <w:tab w:val="left" w:pos="360"/>
          <w:tab w:val="num" w:pos="720"/>
        </w:tabs>
        <w:ind w:left="720" w:hanging="360"/>
        <w:jc w:val="both"/>
        <w:rPr>
          <w:rFonts w:ascii="Garamond" w:hAnsi="Garamond"/>
          <w:b/>
          <w:smallCaps/>
        </w:rPr>
      </w:pPr>
    </w:p>
    <w:p w:rsidR="009B1797" w:rsidRDefault="009B1797" w:rsidP="009B1797">
      <w:pPr>
        <w:tabs>
          <w:tab w:val="left" w:pos="360"/>
        </w:tabs>
        <w:jc w:val="both"/>
        <w:rPr>
          <w:rFonts w:ascii="Garamond" w:hAnsi="Garamond"/>
          <w:b/>
          <w:smallCaps/>
        </w:rPr>
      </w:pPr>
      <w:r>
        <w:rPr>
          <w:rFonts w:ascii="Garamond" w:hAnsi="Garamond"/>
          <w:b/>
          <w:smallCaps/>
        </w:rPr>
        <w:t>Types of Eligible Scholarly/Creative/Professional Activities</w:t>
      </w:r>
    </w:p>
    <w:p w:rsidR="009B1797" w:rsidRPr="002D3826" w:rsidRDefault="00194244" w:rsidP="009B179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92FQ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" strokecolor="#339"/>
            </w:pict>
          </mc:Fallback>
        </mc:AlternateContent>
      </w:r>
    </w:p>
    <w:p w:rsidR="00942F77" w:rsidRDefault="00942F77" w:rsidP="00942F77">
      <w:pPr>
        <w:jc w:val="both"/>
        <w:rPr>
          <w:rFonts w:ascii="Garamond" w:hAnsi="Garamond"/>
          <w:sz w:val="22"/>
        </w:rPr>
      </w:pPr>
      <w:r>
        <w:rPr>
          <w:rFonts w:ascii="Garamond" w:hAnsi="Garamond"/>
          <w:sz w:val="22"/>
        </w:rPr>
        <w:t>The following types of scholarly/creative/professional activities are eligible to be supported by the SOSA program:</w:t>
      </w:r>
    </w:p>
    <w:p w:rsidR="00942F77" w:rsidRPr="00896A11" w:rsidRDefault="00942F77" w:rsidP="00942F77">
      <w:pPr>
        <w:tabs>
          <w:tab w:val="left" w:pos="360"/>
        </w:tabs>
        <w:jc w:val="both"/>
        <w:rPr>
          <w:rFonts w:ascii="Garamond" w:hAnsi="Garamond"/>
          <w:b/>
          <w:smallCaps/>
          <w:sz w:val="22"/>
        </w:rPr>
      </w:pPr>
    </w:p>
    <w:p w:rsidR="00942F77" w:rsidRDefault="00942F77" w:rsidP="00942F77">
      <w:pPr>
        <w:tabs>
          <w:tab w:val="left" w:pos="720"/>
        </w:tabs>
        <w:ind w:left="720" w:hanging="360"/>
        <w:jc w:val="both"/>
        <w:rPr>
          <w:rFonts w:ascii="Garamond" w:hAnsi="Garamond"/>
          <w:sz w:val="22"/>
        </w:rPr>
      </w:pPr>
      <w:r w:rsidRPr="00896A11">
        <w:rPr>
          <w:rFonts w:ascii="Garamond" w:hAnsi="Garamond"/>
          <w:sz w:val="22"/>
        </w:rPr>
        <w:t xml:space="preserve">1. </w:t>
      </w:r>
      <w:r>
        <w:rPr>
          <w:rFonts w:ascii="Garamond" w:hAnsi="Garamond"/>
          <w:sz w:val="22"/>
        </w:rPr>
        <w:tab/>
      </w:r>
      <w:r w:rsidRPr="005E3328">
        <w:rPr>
          <w:rFonts w:ascii="Garamond" w:hAnsi="Garamond"/>
          <w:b/>
          <w:sz w:val="22"/>
        </w:rPr>
        <w:t>Research</w:t>
      </w:r>
      <w:r>
        <w:rPr>
          <w:rFonts w:ascii="Garamond" w:hAnsi="Garamond"/>
          <w:sz w:val="22"/>
        </w:rPr>
        <w:t xml:space="preserve"> </w:t>
      </w:r>
    </w:p>
    <w:p w:rsidR="00866EEA"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 xml:space="preserve">Any of the following categories of research are eligible for support as long as they are to be communicated to the academic community beyond TCNJ.  Eligible venues for communicating research include a broad range commensurate with practices among the many disciplinary and </w:t>
      </w:r>
      <w:r>
        <w:rPr>
          <w:rFonts w:ascii="Garamond" w:hAnsi="Garamond"/>
          <w:sz w:val="22"/>
        </w:rPr>
        <w:t>inter</w:t>
      </w:r>
      <w:r w:rsidRPr="00896A11">
        <w:rPr>
          <w:rFonts w:ascii="Garamond" w:hAnsi="Garamond"/>
          <w:sz w:val="22"/>
        </w:rPr>
        <w:t xml:space="preserve">-disciplinary fields in which TCNJ teacher-scholars conduct their work.  The most common include: articles in professional journals; published books, editions, textbooks, and chapters; original papers for conferences or professional societies; lecture recitals; service as editor or reviewer of scholarly works or proposals; proceedings of conferences, panels, or meetings; published manuals or handbooks to accompany texts, instruments, or equipment; software; and electronic media.  </w:t>
      </w:r>
    </w:p>
    <w:p w:rsidR="00942F77" w:rsidRPr="00896A11" w:rsidRDefault="00942F77" w:rsidP="00942F77">
      <w:pPr>
        <w:tabs>
          <w:tab w:val="left" w:pos="720"/>
        </w:tabs>
        <w:ind w:left="720" w:hanging="360"/>
        <w:jc w:val="both"/>
        <w:rPr>
          <w:rFonts w:ascii="Garamond" w:hAnsi="Garamond"/>
          <w:sz w:val="22"/>
        </w:rPr>
      </w:pPr>
    </w:p>
    <w:p w:rsidR="00942F77" w:rsidRPr="00896A11"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a.</w:t>
      </w:r>
      <w:r w:rsidR="00942F77">
        <w:rPr>
          <w:rFonts w:ascii="Garamond" w:hAnsi="Garamond"/>
          <w:sz w:val="22"/>
        </w:rPr>
        <w:tab/>
      </w:r>
      <w:r w:rsidR="00942F77" w:rsidRPr="00896A11">
        <w:rPr>
          <w:rFonts w:ascii="Garamond" w:hAnsi="Garamond"/>
          <w:i/>
          <w:sz w:val="22"/>
        </w:rPr>
        <w:t>The Scholarship of Discovery</w:t>
      </w:r>
      <w:r w:rsidR="00942F77">
        <w:rPr>
          <w:rFonts w:ascii="Garamond" w:hAnsi="Garamond"/>
          <w:sz w:val="22"/>
        </w:rPr>
        <w:t xml:space="preserve"> – T</w:t>
      </w:r>
      <w:r w:rsidR="00942F77" w:rsidRPr="00896A11">
        <w:rPr>
          <w:rFonts w:ascii="Garamond" w:hAnsi="Garamond"/>
          <w:sz w:val="22"/>
        </w:rPr>
        <w:t>he traditional research model in which new content knowledge is acquired.</w:t>
      </w:r>
    </w:p>
    <w:p w:rsidR="00942F77" w:rsidRPr="00896A11" w:rsidRDefault="004F5126" w:rsidP="00942F77">
      <w:pPr>
        <w:pStyle w:val="BodyTextIndent2"/>
        <w:tabs>
          <w:tab w:val="left" w:pos="1080"/>
          <w:tab w:val="left" w:pos="1440"/>
        </w:tabs>
        <w:spacing w:after="0" w:line="240" w:lineRule="auto"/>
        <w:ind w:left="1440" w:hanging="1080"/>
        <w:jc w:val="both"/>
        <w:rPr>
          <w:rFonts w:ascii="Garamond" w:eastAsia="Batang" w:hAnsi="Garamond" w:cs="Batang"/>
          <w:sz w:val="22"/>
        </w:rPr>
      </w:pPr>
      <w:r>
        <w:rPr>
          <w:rFonts w:ascii="Garamond" w:hAnsi="Garamond"/>
          <w:sz w:val="22"/>
        </w:rPr>
        <w:tab/>
        <w:t>b.</w:t>
      </w:r>
      <w:r w:rsidR="00942F77" w:rsidRPr="00896A11">
        <w:rPr>
          <w:rFonts w:ascii="Garamond" w:hAnsi="Garamond"/>
          <w:sz w:val="22"/>
        </w:rPr>
        <w:t xml:space="preserve"> </w:t>
      </w:r>
      <w:r w:rsidR="00942F77">
        <w:rPr>
          <w:rFonts w:ascii="Garamond" w:hAnsi="Garamond"/>
          <w:sz w:val="22"/>
        </w:rPr>
        <w:tab/>
      </w:r>
      <w:r w:rsidR="00942F77" w:rsidRPr="00896A11">
        <w:rPr>
          <w:rFonts w:ascii="Garamond" w:hAnsi="Garamond"/>
          <w:i/>
          <w:sz w:val="22"/>
        </w:rPr>
        <w:t>The Scholarship of Integration</w:t>
      </w:r>
      <w:r w:rsidR="00942F77">
        <w:rPr>
          <w:rFonts w:ascii="Garamond" w:hAnsi="Garamond"/>
          <w:sz w:val="22"/>
        </w:rPr>
        <w:t xml:space="preserve"> – T</w:t>
      </w:r>
      <w:r w:rsidR="00942F77" w:rsidRPr="00896A11">
        <w:rPr>
          <w:rFonts w:ascii="Garamond" w:hAnsi="Garamond"/>
          <w:sz w:val="22"/>
        </w:rPr>
        <w:t xml:space="preserve">he creation of new knowledge by synthesizing and making connections across disciplines or sub-disciplines. </w:t>
      </w:r>
    </w:p>
    <w:p w:rsidR="00942F77" w:rsidRPr="00896A11"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c.</w:t>
      </w:r>
      <w:r w:rsidR="00942F77" w:rsidRPr="00896A11">
        <w:rPr>
          <w:rFonts w:ascii="Garamond" w:hAnsi="Garamond"/>
          <w:sz w:val="22"/>
        </w:rPr>
        <w:t xml:space="preserve"> </w:t>
      </w:r>
      <w:r w:rsidR="00942F77">
        <w:rPr>
          <w:rFonts w:ascii="Garamond" w:hAnsi="Garamond"/>
          <w:sz w:val="22"/>
        </w:rPr>
        <w:tab/>
      </w:r>
      <w:r w:rsidR="00942F77" w:rsidRPr="00896A11">
        <w:rPr>
          <w:rFonts w:ascii="Garamond" w:hAnsi="Garamond"/>
          <w:i/>
          <w:sz w:val="22"/>
        </w:rPr>
        <w:t>The Scholarship of Application</w:t>
      </w:r>
      <w:r w:rsidR="00942F77">
        <w:rPr>
          <w:rFonts w:ascii="Garamond" w:hAnsi="Garamond"/>
          <w:sz w:val="22"/>
        </w:rPr>
        <w:t xml:space="preserve"> – T</w:t>
      </w:r>
      <w:r w:rsidR="00942F77" w:rsidRPr="00896A11">
        <w:rPr>
          <w:rFonts w:ascii="Garamond" w:hAnsi="Garamond"/>
          <w:sz w:val="22"/>
        </w:rPr>
        <w:t>he bridging of the gap between theory and practice through both research and action.</w:t>
      </w:r>
    </w:p>
    <w:p w:rsidR="00942F77" w:rsidRPr="00896A11" w:rsidRDefault="004F5126" w:rsidP="00942F77">
      <w:pPr>
        <w:pStyle w:val="BodyTextIndent2"/>
        <w:tabs>
          <w:tab w:val="left" w:pos="1080"/>
          <w:tab w:val="left" w:pos="1440"/>
        </w:tabs>
        <w:spacing w:after="0" w:line="240" w:lineRule="auto"/>
        <w:ind w:left="1440" w:hanging="1080"/>
        <w:jc w:val="both"/>
        <w:rPr>
          <w:rFonts w:ascii="Garamond" w:hAnsi="Garamond"/>
          <w:sz w:val="22"/>
        </w:rPr>
      </w:pPr>
      <w:r>
        <w:rPr>
          <w:rFonts w:ascii="Garamond" w:hAnsi="Garamond"/>
          <w:sz w:val="22"/>
        </w:rPr>
        <w:tab/>
        <w:t>d.</w:t>
      </w:r>
      <w:r w:rsidR="00942F77" w:rsidRPr="00896A11">
        <w:rPr>
          <w:rFonts w:ascii="Garamond" w:hAnsi="Garamond"/>
          <w:sz w:val="22"/>
        </w:rPr>
        <w:t xml:space="preserve"> </w:t>
      </w:r>
      <w:r w:rsidR="00942F77">
        <w:rPr>
          <w:rFonts w:ascii="Garamond" w:hAnsi="Garamond"/>
          <w:sz w:val="22"/>
        </w:rPr>
        <w:tab/>
      </w:r>
      <w:r w:rsidR="00942F77" w:rsidRPr="00896A11">
        <w:rPr>
          <w:rFonts w:ascii="Garamond" w:hAnsi="Garamond"/>
          <w:i/>
          <w:sz w:val="22"/>
        </w:rPr>
        <w:t>The Scholarship of Pedagogy</w:t>
      </w:r>
      <w:r w:rsidR="00942F77">
        <w:rPr>
          <w:rFonts w:ascii="Garamond" w:hAnsi="Garamond"/>
          <w:sz w:val="22"/>
        </w:rPr>
        <w:t xml:space="preserve"> – T</w:t>
      </w:r>
      <w:r w:rsidR="00942F77" w:rsidRPr="00896A11">
        <w:rPr>
          <w:rFonts w:ascii="Garamond" w:hAnsi="Garamond"/>
          <w:sz w:val="22"/>
        </w:rPr>
        <w:t xml:space="preserve">he discovery or evaluative analysis of the ways students learn, and the identification and assessment of methods used to foster learning. </w:t>
      </w:r>
    </w:p>
    <w:p w:rsidR="00942F77" w:rsidRPr="00896A11" w:rsidRDefault="00942F77" w:rsidP="00942F77">
      <w:pPr>
        <w:tabs>
          <w:tab w:val="left" w:pos="720"/>
        </w:tabs>
        <w:ind w:left="720" w:hanging="360"/>
        <w:jc w:val="both"/>
        <w:rPr>
          <w:rFonts w:ascii="Garamond" w:hAnsi="Garamond"/>
          <w:sz w:val="22"/>
        </w:rPr>
      </w:pPr>
      <w:r w:rsidRPr="00896A11">
        <w:rPr>
          <w:rFonts w:ascii="Garamond" w:hAnsi="Garamond"/>
          <w:sz w:val="22"/>
        </w:rPr>
        <w:tab/>
      </w:r>
      <w:r w:rsidRPr="00896A11">
        <w:rPr>
          <w:rFonts w:ascii="Garamond" w:hAnsi="Garamond"/>
          <w:sz w:val="22"/>
        </w:rPr>
        <w:tab/>
      </w:r>
    </w:p>
    <w:p w:rsidR="00942F77" w:rsidRDefault="00942F77" w:rsidP="00942F77">
      <w:pPr>
        <w:tabs>
          <w:tab w:val="left" w:pos="720"/>
        </w:tabs>
        <w:ind w:left="720" w:hanging="360"/>
        <w:jc w:val="both"/>
        <w:rPr>
          <w:rFonts w:ascii="Garamond" w:hAnsi="Garamond"/>
          <w:sz w:val="22"/>
        </w:rPr>
      </w:pPr>
      <w:r>
        <w:rPr>
          <w:rFonts w:ascii="Garamond" w:hAnsi="Garamond"/>
          <w:sz w:val="22"/>
        </w:rPr>
        <w:t xml:space="preserve">2. </w:t>
      </w:r>
      <w:r>
        <w:rPr>
          <w:rFonts w:ascii="Garamond" w:hAnsi="Garamond"/>
          <w:sz w:val="22"/>
        </w:rPr>
        <w:tab/>
      </w:r>
      <w:r w:rsidRPr="005E3328">
        <w:rPr>
          <w:rFonts w:ascii="Garamond" w:hAnsi="Garamond"/>
          <w:b/>
          <w:sz w:val="22"/>
        </w:rPr>
        <w:t>Creative Endeavors</w:t>
      </w:r>
      <w:r>
        <w:rPr>
          <w:rFonts w:ascii="Garamond" w:hAnsi="Garamond"/>
          <w:sz w:val="22"/>
        </w:rPr>
        <w:t xml:space="preserve"> </w:t>
      </w:r>
    </w:p>
    <w:p w:rsidR="00942F77" w:rsidRPr="00896A11"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These include original works of art, creative writing, drama, documentary, music, dance, graphic design, digital arts, and architecture.  These creative outcomes are presented to the public through performances, shows, original compositions, sound or visual recordings, publications, displays or exhibits.  Activities may include participation on panels, in discussion groups, seminars, or workshops, or curating exhibitions.</w:t>
      </w:r>
    </w:p>
    <w:p w:rsidR="00942F77" w:rsidRPr="00896A11" w:rsidRDefault="00942F77" w:rsidP="00942F77">
      <w:pPr>
        <w:tabs>
          <w:tab w:val="left" w:pos="720"/>
        </w:tabs>
        <w:ind w:left="720" w:hanging="360"/>
        <w:jc w:val="both"/>
        <w:rPr>
          <w:rFonts w:ascii="Garamond" w:hAnsi="Garamond"/>
          <w:sz w:val="22"/>
        </w:rPr>
      </w:pPr>
    </w:p>
    <w:p w:rsidR="00942F77" w:rsidRDefault="00942F77" w:rsidP="00942F77">
      <w:pPr>
        <w:tabs>
          <w:tab w:val="left" w:pos="720"/>
        </w:tabs>
        <w:ind w:left="720" w:hanging="360"/>
        <w:jc w:val="both"/>
        <w:rPr>
          <w:rFonts w:ascii="Garamond" w:hAnsi="Garamond"/>
          <w:sz w:val="22"/>
        </w:rPr>
      </w:pPr>
      <w:r>
        <w:rPr>
          <w:rFonts w:ascii="Garamond" w:hAnsi="Garamond"/>
          <w:sz w:val="22"/>
        </w:rPr>
        <w:t xml:space="preserve">3. </w:t>
      </w:r>
      <w:r>
        <w:rPr>
          <w:rFonts w:ascii="Garamond" w:hAnsi="Garamond"/>
          <w:sz w:val="22"/>
        </w:rPr>
        <w:tab/>
      </w:r>
      <w:r w:rsidRPr="005E3328">
        <w:rPr>
          <w:rFonts w:ascii="Garamond" w:hAnsi="Garamond"/>
          <w:b/>
          <w:sz w:val="22"/>
        </w:rPr>
        <w:t>Professional Activity</w:t>
      </w:r>
      <w:r>
        <w:rPr>
          <w:rFonts w:ascii="Garamond" w:hAnsi="Garamond"/>
          <w:sz w:val="22"/>
        </w:rPr>
        <w:t xml:space="preserve"> </w:t>
      </w:r>
    </w:p>
    <w:p w:rsidR="00942F77" w:rsidRPr="00896A11"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Professional activities as a consultant or practitioner are considered scholarly activity when they involve the creation, rather than the application, of knowledge and impact significantly on one</w:t>
      </w:r>
      <w:r w:rsidR="00FE61E0">
        <w:rPr>
          <w:rFonts w:ascii="Garamond" w:hAnsi="Garamond"/>
          <w:sz w:val="22"/>
        </w:rPr>
        <w:t>’</w:t>
      </w:r>
      <w:r w:rsidRPr="00896A11">
        <w:rPr>
          <w:rFonts w:ascii="Garamond" w:hAnsi="Garamond"/>
          <w:sz w:val="22"/>
        </w:rPr>
        <w:t>s discipline.  These activities demonstrate professional recognition of one</w:t>
      </w:r>
      <w:r w:rsidR="00FE61E0">
        <w:rPr>
          <w:rFonts w:ascii="Garamond" w:hAnsi="Garamond"/>
          <w:sz w:val="22"/>
        </w:rPr>
        <w:t>’</w:t>
      </w:r>
      <w:r w:rsidRPr="00896A11">
        <w:rPr>
          <w:rFonts w:ascii="Garamond" w:hAnsi="Garamond"/>
          <w:sz w:val="22"/>
        </w:rPr>
        <w:t>s scholarship at least at the local level and may include such work as original research when consulting for an outside organization, creating national standards for an accrediting organization, designing curricula for national or regional use, etc.  Documentation of professional activities may include written evaluations by peers or professional organizations.</w:t>
      </w:r>
    </w:p>
    <w:p w:rsidR="00942F77" w:rsidRPr="00896A11" w:rsidRDefault="00942F77" w:rsidP="00942F77">
      <w:pPr>
        <w:tabs>
          <w:tab w:val="left" w:pos="720"/>
        </w:tabs>
        <w:ind w:left="720" w:hanging="360"/>
        <w:jc w:val="both"/>
        <w:rPr>
          <w:rFonts w:ascii="Garamond" w:hAnsi="Garamond"/>
          <w:sz w:val="22"/>
        </w:rPr>
      </w:pPr>
    </w:p>
    <w:p w:rsidR="00942F77" w:rsidRDefault="00942F77" w:rsidP="00942F77">
      <w:pPr>
        <w:tabs>
          <w:tab w:val="left" w:pos="720"/>
        </w:tabs>
        <w:ind w:left="720" w:hanging="360"/>
        <w:jc w:val="both"/>
        <w:rPr>
          <w:rFonts w:ascii="Garamond" w:hAnsi="Garamond"/>
          <w:sz w:val="22"/>
        </w:rPr>
      </w:pPr>
      <w:r w:rsidRPr="00896A11">
        <w:rPr>
          <w:rFonts w:ascii="Garamond" w:hAnsi="Garamond"/>
          <w:sz w:val="22"/>
        </w:rPr>
        <w:t xml:space="preserve">4. </w:t>
      </w:r>
      <w:r>
        <w:rPr>
          <w:rFonts w:ascii="Garamond" w:hAnsi="Garamond"/>
          <w:sz w:val="22"/>
        </w:rPr>
        <w:tab/>
      </w:r>
      <w:r w:rsidRPr="005E3328">
        <w:rPr>
          <w:rFonts w:ascii="Garamond" w:hAnsi="Garamond"/>
          <w:b/>
          <w:sz w:val="22"/>
        </w:rPr>
        <w:t>Major Grant Application Preparation</w:t>
      </w:r>
      <w:r w:rsidRPr="00DE0C23">
        <w:rPr>
          <w:rFonts w:ascii="Garamond" w:hAnsi="Garamond"/>
          <w:i/>
          <w:sz w:val="22"/>
        </w:rPr>
        <w:t xml:space="preserve"> </w:t>
      </w:r>
    </w:p>
    <w:p w:rsidR="00942F77" w:rsidRPr="00896A11" w:rsidRDefault="00942F77" w:rsidP="00942F77">
      <w:pPr>
        <w:tabs>
          <w:tab w:val="left" w:pos="720"/>
        </w:tabs>
        <w:ind w:left="720" w:hanging="360"/>
        <w:jc w:val="both"/>
        <w:rPr>
          <w:rFonts w:ascii="Garamond" w:hAnsi="Garamond"/>
          <w:sz w:val="22"/>
        </w:rPr>
      </w:pPr>
      <w:r>
        <w:rPr>
          <w:rFonts w:ascii="Garamond" w:hAnsi="Garamond"/>
          <w:sz w:val="22"/>
        </w:rPr>
        <w:tab/>
      </w:r>
      <w:r w:rsidRPr="00896A11">
        <w:rPr>
          <w:rFonts w:ascii="Garamond" w:hAnsi="Garamond"/>
          <w:sz w:val="22"/>
        </w:rPr>
        <w:t>Preparation of applications for highly competitive, major grants (in support of scholarly, creative, or professional activities as described above) requiring extensive advance research and documentation.</w:t>
      </w:r>
    </w:p>
    <w:p w:rsidR="00942F77" w:rsidRDefault="00942F77" w:rsidP="00942F77">
      <w:pPr>
        <w:rPr>
          <w:rFonts w:ascii="Garamond" w:hAnsi="Garamond"/>
          <w:b/>
          <w:smallCaps/>
        </w:rPr>
      </w:pPr>
    </w:p>
    <w:p w:rsidR="00942F77" w:rsidRDefault="00942F77" w:rsidP="00942F77">
      <w:pPr>
        <w:rPr>
          <w:rFonts w:ascii="Garamond" w:hAnsi="Garamond"/>
          <w:b/>
          <w:smallCaps/>
        </w:rPr>
      </w:pPr>
      <w:r w:rsidRPr="0020452B">
        <w:rPr>
          <w:rFonts w:ascii="Garamond" w:hAnsi="Garamond"/>
          <w:b/>
          <w:smallCaps/>
        </w:rPr>
        <w:t xml:space="preserve">Institutional Review Board (IRB) and </w:t>
      </w:r>
    </w:p>
    <w:p w:rsidR="00942F77" w:rsidRPr="0020452B" w:rsidRDefault="00942F77" w:rsidP="00942F77">
      <w:pPr>
        <w:tabs>
          <w:tab w:val="left" w:pos="360"/>
        </w:tabs>
        <w:jc w:val="both"/>
        <w:rPr>
          <w:rFonts w:ascii="Garamond" w:hAnsi="Garamond"/>
          <w:b/>
          <w:smallCaps/>
        </w:rPr>
      </w:pPr>
      <w:r w:rsidRPr="0020452B">
        <w:rPr>
          <w:rFonts w:ascii="Garamond" w:hAnsi="Garamond"/>
          <w:b/>
          <w:smallCaps/>
        </w:rPr>
        <w:t>Institutional Animal Care and Use Committee (IACUC) Approval</w:t>
      </w:r>
    </w:p>
    <w:p w:rsidR="00942F77" w:rsidRPr="002D3826" w:rsidRDefault="00194244" w:rsidP="00942F7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85725</wp:posOffset>
                </wp:positionV>
                <wp:extent cx="6057900" cy="0"/>
                <wp:effectExtent l="9525" t="9525" r="9525" b="952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nFwIAACk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" strokecolor="#339"/>
            </w:pict>
          </mc:Fallback>
        </mc:AlternateContent>
      </w:r>
    </w:p>
    <w:p w:rsidR="00942F77" w:rsidRDefault="00942F77" w:rsidP="00942F77">
      <w:pPr>
        <w:jc w:val="both"/>
        <w:rPr>
          <w:rFonts w:ascii="Garamond" w:hAnsi="Garamond"/>
          <w:sz w:val="22"/>
        </w:rPr>
      </w:pPr>
      <w:r w:rsidRPr="006213B8">
        <w:rPr>
          <w:rFonts w:ascii="Garamond" w:hAnsi="Garamond"/>
          <w:sz w:val="22"/>
        </w:rPr>
        <w:t xml:space="preserve">Faculty members who are planning research involving </w:t>
      </w:r>
      <w:r>
        <w:rPr>
          <w:rFonts w:ascii="Garamond" w:hAnsi="Garamond"/>
          <w:sz w:val="22"/>
        </w:rPr>
        <w:t xml:space="preserve">either </w:t>
      </w:r>
      <w:r w:rsidRPr="006213B8">
        <w:rPr>
          <w:rFonts w:ascii="Garamond" w:hAnsi="Garamond"/>
          <w:sz w:val="22"/>
        </w:rPr>
        <w:t xml:space="preserve">human subjects or vertebrate animals must obtain approval from the Institutional Review Board (IRB) or the Institutional Animal Care and Use Committee (IACUC), respectively.  </w:t>
      </w:r>
    </w:p>
    <w:p w:rsidR="00942F77" w:rsidRPr="006213B8" w:rsidRDefault="00942F77" w:rsidP="00942F77">
      <w:pPr>
        <w:jc w:val="both"/>
        <w:rPr>
          <w:rFonts w:ascii="Garamond" w:hAnsi="Garamond"/>
          <w:sz w:val="22"/>
        </w:rPr>
      </w:pPr>
    </w:p>
    <w:p w:rsidR="00942F77" w:rsidRDefault="00942F77" w:rsidP="00942F77">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w:t>
      </w:r>
      <w:r w:rsidR="00FE61E0">
        <w:rPr>
          <w:rFonts w:ascii="Garamond" w:hAnsi="Garamond"/>
          <w:sz w:val="22"/>
        </w:rPr>
        <w:t>’</w:t>
      </w:r>
      <w:r>
        <w:rPr>
          <w:rFonts w:ascii="Garamond" w:hAnsi="Garamond"/>
          <w:sz w:val="22"/>
        </w:rPr>
        <w:t>s</w:t>
      </w:r>
      <w:r w:rsidRPr="006213B8">
        <w:rPr>
          <w:rFonts w:ascii="Garamond" w:hAnsi="Garamond"/>
          <w:sz w:val="22"/>
        </w:rPr>
        <w:t xml:space="preserve"> policies and procedures for IRB approval can be found at: </w:t>
      </w:r>
      <w:r>
        <w:rPr>
          <w:rFonts w:ascii="Garamond" w:hAnsi="Garamond"/>
          <w:sz w:val="22"/>
        </w:rPr>
        <w:t xml:space="preserve"> </w:t>
      </w:r>
      <w:hyperlink r:id="rId12" w:history="1">
        <w:r w:rsidRPr="00097471">
          <w:rPr>
            <w:rStyle w:val="Hyperlink"/>
            <w:rFonts w:ascii="Garamond" w:hAnsi="Garamond"/>
            <w:sz w:val="22"/>
          </w:rPr>
          <w:t>http://www.tcnj.edu/~irb/</w:t>
        </w:r>
      </w:hyperlink>
      <w:r>
        <w:rPr>
          <w:rFonts w:ascii="Garamond" w:hAnsi="Garamond"/>
          <w:sz w:val="22"/>
        </w:rPr>
        <w:t>.</w:t>
      </w:r>
    </w:p>
    <w:p w:rsidR="00942F77" w:rsidRPr="006213B8" w:rsidRDefault="00942F77" w:rsidP="00942F77">
      <w:pPr>
        <w:tabs>
          <w:tab w:val="left" w:pos="360"/>
          <w:tab w:val="left" w:pos="720"/>
        </w:tabs>
        <w:ind w:left="720" w:hanging="720"/>
        <w:jc w:val="both"/>
        <w:rPr>
          <w:rFonts w:ascii="Garamond" w:hAnsi="Garamond"/>
          <w:sz w:val="22"/>
        </w:rPr>
      </w:pPr>
    </w:p>
    <w:p w:rsidR="00942F77" w:rsidRDefault="00942F77" w:rsidP="00942F77">
      <w:pPr>
        <w:tabs>
          <w:tab w:val="left" w:pos="360"/>
          <w:tab w:val="left" w:pos="720"/>
        </w:tabs>
        <w:ind w:left="720" w:hanging="720"/>
        <w:jc w:val="both"/>
        <w:rPr>
          <w:rFonts w:ascii="Garamond" w:hAnsi="Garamond"/>
          <w:sz w:val="22"/>
        </w:rPr>
      </w:pPr>
      <w:r>
        <w:rPr>
          <w:rFonts w:ascii="Garamond" w:hAnsi="Garamond"/>
          <w:sz w:val="22"/>
        </w:rPr>
        <w:tab/>
        <w:t xml:space="preserve">• </w:t>
      </w:r>
      <w:r>
        <w:rPr>
          <w:rFonts w:ascii="Garamond" w:hAnsi="Garamond"/>
          <w:sz w:val="22"/>
        </w:rPr>
        <w:tab/>
        <w:t>TCNJ</w:t>
      </w:r>
      <w:r w:rsidR="00FE61E0">
        <w:rPr>
          <w:rFonts w:ascii="Garamond" w:hAnsi="Garamond"/>
          <w:sz w:val="22"/>
        </w:rPr>
        <w:t>’</w:t>
      </w:r>
      <w:r>
        <w:rPr>
          <w:rFonts w:ascii="Garamond" w:hAnsi="Garamond"/>
          <w:sz w:val="22"/>
        </w:rPr>
        <w:t>s</w:t>
      </w:r>
      <w:r w:rsidRPr="006213B8">
        <w:rPr>
          <w:rFonts w:ascii="Garamond" w:hAnsi="Garamond"/>
          <w:sz w:val="22"/>
        </w:rPr>
        <w:t xml:space="preserve"> policies and procedures for IACUC approval can be found at: </w:t>
      </w:r>
    </w:p>
    <w:p w:rsidR="00942F77" w:rsidRPr="006213B8" w:rsidRDefault="00942F77" w:rsidP="00942F77">
      <w:pPr>
        <w:tabs>
          <w:tab w:val="left" w:pos="360"/>
          <w:tab w:val="left" w:pos="720"/>
        </w:tabs>
        <w:ind w:left="720" w:hanging="720"/>
        <w:jc w:val="both"/>
        <w:rPr>
          <w:rFonts w:ascii="Garamond" w:hAnsi="Garamond"/>
          <w:sz w:val="22"/>
        </w:rPr>
      </w:pPr>
      <w:r>
        <w:rPr>
          <w:rFonts w:ascii="Garamond" w:hAnsi="Garamond"/>
          <w:sz w:val="22"/>
        </w:rPr>
        <w:tab/>
      </w:r>
      <w:r>
        <w:rPr>
          <w:rFonts w:ascii="Garamond" w:hAnsi="Garamond"/>
          <w:sz w:val="22"/>
        </w:rPr>
        <w:tab/>
      </w:r>
      <w:hyperlink r:id="rId13" w:history="1">
        <w:r w:rsidRPr="006213B8">
          <w:rPr>
            <w:rStyle w:val="Hyperlink"/>
            <w:rFonts w:ascii="Garamond" w:hAnsi="Garamond"/>
            <w:sz w:val="22"/>
          </w:rPr>
          <w:t>http://grants.intrasun.tcnj.edu/compliance/animal.html</w:t>
        </w:r>
      </w:hyperlink>
      <w:r>
        <w:rPr>
          <w:rFonts w:ascii="Garamond" w:hAnsi="Garamond"/>
          <w:sz w:val="22"/>
        </w:rPr>
        <w:t>.</w:t>
      </w:r>
    </w:p>
    <w:p w:rsidR="00942F77" w:rsidRDefault="00942F77" w:rsidP="00942F77">
      <w:pPr>
        <w:tabs>
          <w:tab w:val="left" w:pos="360"/>
        </w:tabs>
        <w:jc w:val="both"/>
        <w:rPr>
          <w:rFonts w:ascii="Garamond" w:hAnsi="Garamond"/>
          <w:b/>
          <w:smallCaps/>
        </w:rPr>
      </w:pPr>
    </w:p>
    <w:p w:rsidR="00942F77" w:rsidRDefault="00942F77" w:rsidP="00942F77">
      <w:pPr>
        <w:tabs>
          <w:tab w:val="left" w:pos="360"/>
        </w:tabs>
        <w:jc w:val="both"/>
        <w:rPr>
          <w:rFonts w:ascii="Garamond" w:hAnsi="Garamond"/>
          <w:b/>
          <w:sz w:val="22"/>
        </w:rPr>
      </w:pPr>
      <w:r>
        <w:rPr>
          <w:rFonts w:ascii="Garamond" w:hAnsi="Garamond"/>
          <w:b/>
          <w:smallCaps/>
        </w:rPr>
        <w:t>Application Format</w:t>
      </w:r>
    </w:p>
    <w:p w:rsidR="00942F77" w:rsidRPr="002D3826" w:rsidRDefault="00194244" w:rsidP="00942F7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85725</wp:posOffset>
                </wp:positionV>
                <wp:extent cx="6057900" cy="0"/>
                <wp:effectExtent l="9525" t="9525" r="9525" b="9525"/>
                <wp:wrapTight wrapText="bothSides">
                  <wp:wrapPolygon edited="0">
                    <wp:start x="-34" y="-2147483648"/>
                    <wp:lineTo x="0" y="-2147483648"/>
                    <wp:lineTo x="10834" y="-2147483648"/>
                    <wp:lineTo x="10834" y="-2147483648"/>
                    <wp:lineTo x="21566" y="-2147483648"/>
                    <wp:lineTo x="21668" y="-2147483648"/>
                    <wp:lineTo x="-34" y="-2147483648"/>
                  </wp:wrapPolygon>
                </wp:wrapTight>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FcFgIAACk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" strokecolor="#339">
                <w10:wrap type="tight"/>
              </v:line>
            </w:pict>
          </mc:Fallback>
        </mc:AlternateContent>
      </w:r>
    </w:p>
    <w:p w:rsidR="00942F77" w:rsidRPr="00060B4B" w:rsidRDefault="00C81511" w:rsidP="00942F77">
      <w:pPr>
        <w:tabs>
          <w:tab w:val="num" w:pos="1530"/>
        </w:tabs>
        <w:jc w:val="both"/>
        <w:rPr>
          <w:rFonts w:ascii="Garamond" w:hAnsi="Garamond"/>
          <w:sz w:val="22"/>
        </w:rPr>
      </w:pPr>
      <w:r>
        <w:rPr>
          <w:rFonts w:ascii="Garamond" w:hAnsi="Garamond"/>
          <w:sz w:val="22"/>
        </w:rPr>
        <w:t>A</w:t>
      </w:r>
      <w:r w:rsidR="00942F77">
        <w:rPr>
          <w:rFonts w:ascii="Garamond" w:hAnsi="Garamond"/>
          <w:sz w:val="22"/>
        </w:rPr>
        <w:t>pplicants should</w:t>
      </w:r>
      <w:r w:rsidR="00942F77" w:rsidRPr="00060B4B">
        <w:rPr>
          <w:rFonts w:ascii="Garamond" w:hAnsi="Garamond"/>
          <w:sz w:val="22"/>
        </w:rPr>
        <w:t xml:space="preserve"> </w:t>
      </w:r>
      <w:r w:rsidR="00942F77" w:rsidRPr="00F95868">
        <w:rPr>
          <w:rFonts w:ascii="Garamond" w:hAnsi="Garamond"/>
          <w:b/>
          <w:sz w:val="22"/>
        </w:rPr>
        <w:t>submit 12 copies</w:t>
      </w:r>
      <w:r w:rsidR="00942F77">
        <w:rPr>
          <w:rFonts w:ascii="Garamond" w:hAnsi="Garamond"/>
          <w:sz w:val="22"/>
        </w:rPr>
        <w:t xml:space="preserve"> of her/his proposal</w:t>
      </w:r>
      <w:r w:rsidR="00942F77" w:rsidRPr="00060B4B">
        <w:rPr>
          <w:rFonts w:ascii="Garamond" w:hAnsi="Garamond"/>
          <w:sz w:val="22"/>
        </w:rPr>
        <w:t xml:space="preserve"> by </w:t>
      </w:r>
      <w:r w:rsidR="00942F77" w:rsidRPr="00902791">
        <w:rPr>
          <w:rFonts w:ascii="Garamond" w:hAnsi="Garamond"/>
          <w:b/>
          <w:sz w:val="22"/>
        </w:rPr>
        <w:t>4:00 pm, Monday, October 3, 2011</w:t>
      </w:r>
      <w:r w:rsidR="00942F77" w:rsidRPr="00060B4B">
        <w:rPr>
          <w:rFonts w:ascii="Garamond" w:hAnsi="Garamond"/>
          <w:sz w:val="22"/>
        </w:rPr>
        <w:t xml:space="preserve"> to </w:t>
      </w:r>
      <w:r w:rsidR="00942F77">
        <w:rPr>
          <w:rFonts w:ascii="Garamond" w:hAnsi="Garamond"/>
          <w:sz w:val="22"/>
        </w:rPr>
        <w:t>the Office of Academic Affairs for the SOSA Committee</w:t>
      </w:r>
      <w:r w:rsidR="00FE61E0">
        <w:rPr>
          <w:rFonts w:ascii="Garamond" w:hAnsi="Garamond"/>
          <w:sz w:val="22"/>
        </w:rPr>
        <w:t>’</w:t>
      </w:r>
      <w:r w:rsidR="00942F77">
        <w:rPr>
          <w:rFonts w:ascii="Garamond" w:hAnsi="Garamond"/>
          <w:sz w:val="22"/>
        </w:rPr>
        <w:t xml:space="preserve">s </w:t>
      </w:r>
      <w:r w:rsidR="00942F77" w:rsidRPr="00060B4B">
        <w:rPr>
          <w:rFonts w:ascii="Garamond" w:hAnsi="Garamond"/>
          <w:sz w:val="22"/>
        </w:rPr>
        <w:t>review and recommendation</w:t>
      </w:r>
      <w:r w:rsidR="00942F77">
        <w:rPr>
          <w:rFonts w:ascii="Garamond" w:hAnsi="Garamond"/>
          <w:sz w:val="22"/>
        </w:rPr>
        <w:t>s</w:t>
      </w:r>
      <w:r w:rsidR="00942F77" w:rsidRPr="00060B4B">
        <w:rPr>
          <w:rFonts w:ascii="Garamond" w:hAnsi="Garamond"/>
          <w:sz w:val="22"/>
        </w:rPr>
        <w:t xml:space="preserve"> to the Provost.</w:t>
      </w:r>
      <w:r w:rsidR="00942F77">
        <w:rPr>
          <w:rFonts w:ascii="Garamond" w:hAnsi="Garamond"/>
          <w:sz w:val="22"/>
        </w:rPr>
        <w:t xml:space="preserve">  </w:t>
      </w:r>
      <w:r w:rsidR="00942F77" w:rsidRPr="00060B4B">
        <w:rPr>
          <w:rFonts w:ascii="Garamond" w:hAnsi="Garamond"/>
          <w:sz w:val="22"/>
        </w:rPr>
        <w:t xml:space="preserve">Late or incomplete applications will not be accepted.  </w:t>
      </w:r>
    </w:p>
    <w:p w:rsidR="00942F77" w:rsidRPr="00060B4B" w:rsidRDefault="00942F77" w:rsidP="00942F77">
      <w:pPr>
        <w:pStyle w:val="BodyText"/>
        <w:spacing w:after="0"/>
        <w:jc w:val="both"/>
        <w:rPr>
          <w:rFonts w:ascii="Garamond" w:hAnsi="Garamond"/>
          <w:i/>
          <w:sz w:val="22"/>
        </w:rPr>
      </w:pPr>
    </w:p>
    <w:p w:rsidR="00942F77" w:rsidRDefault="00942F77" w:rsidP="00942F77">
      <w:pPr>
        <w:jc w:val="both"/>
        <w:rPr>
          <w:rFonts w:ascii="Garamond" w:hAnsi="Garamond"/>
          <w:sz w:val="22"/>
        </w:rPr>
      </w:pPr>
      <w:r>
        <w:rPr>
          <w:rFonts w:ascii="Garamond" w:hAnsi="Garamond"/>
          <w:sz w:val="22"/>
        </w:rPr>
        <w:t>A variety</w:t>
      </w:r>
      <w:r w:rsidRPr="00060B4B">
        <w:rPr>
          <w:rFonts w:ascii="Garamond" w:hAnsi="Garamond"/>
          <w:sz w:val="22"/>
        </w:rPr>
        <w:t xml:space="preserve"> of previously funded proposals are available for viewing, and there will be a SOSA proposal workshop held in September 2011.</w:t>
      </w:r>
      <w:r w:rsidR="001E167B">
        <w:rPr>
          <w:rFonts w:ascii="Garamond" w:hAnsi="Garamond"/>
          <w:sz w:val="22"/>
        </w:rPr>
        <w:t xml:space="preserve">  The locations for these will be announced.</w:t>
      </w:r>
    </w:p>
    <w:p w:rsidR="00942F77" w:rsidRDefault="00942F77" w:rsidP="00942F77">
      <w:pPr>
        <w:jc w:val="both"/>
        <w:rPr>
          <w:rFonts w:ascii="Garamond" w:hAnsi="Garamond"/>
          <w:sz w:val="22"/>
        </w:rPr>
      </w:pPr>
    </w:p>
    <w:p w:rsidR="00942F77" w:rsidRPr="00060B4B" w:rsidRDefault="00942F77" w:rsidP="00942F77">
      <w:pPr>
        <w:jc w:val="both"/>
        <w:rPr>
          <w:rFonts w:ascii="Garamond" w:hAnsi="Garamond"/>
          <w:sz w:val="22"/>
        </w:rPr>
      </w:pPr>
      <w:r w:rsidRPr="00060B4B">
        <w:rPr>
          <w:rFonts w:ascii="Garamond" w:hAnsi="Garamond"/>
          <w:sz w:val="22"/>
        </w:rPr>
        <w:t xml:space="preserve">The proposal must follow the format noted below, </w:t>
      </w:r>
      <w:r w:rsidRPr="00902791">
        <w:rPr>
          <w:rFonts w:ascii="Garamond" w:hAnsi="Garamond"/>
          <w:b/>
          <w:sz w:val="22"/>
        </w:rPr>
        <w:t>otherwise it will not be reviewed</w:t>
      </w:r>
      <w:r w:rsidRPr="00902791">
        <w:rPr>
          <w:rFonts w:ascii="Garamond" w:hAnsi="Garamond"/>
          <w:sz w:val="22"/>
        </w:rPr>
        <w:t>.</w:t>
      </w:r>
      <w:r>
        <w:rPr>
          <w:rFonts w:ascii="Garamond" w:hAnsi="Garamond"/>
          <w:sz w:val="22"/>
        </w:rPr>
        <w:t xml:space="preserve">  Please submit double-sided copies to save paper.</w:t>
      </w:r>
    </w:p>
    <w:p w:rsidR="0068756E" w:rsidRDefault="0068756E" w:rsidP="00942F77">
      <w:pPr>
        <w:jc w:val="both"/>
        <w:rPr>
          <w:rFonts w:ascii="Garamond" w:hAnsi="Garamond"/>
          <w:sz w:val="22"/>
        </w:rPr>
      </w:pPr>
    </w:p>
    <w:p w:rsidR="0068756E" w:rsidRDefault="0068756E" w:rsidP="00942F77">
      <w:pPr>
        <w:jc w:val="both"/>
        <w:rPr>
          <w:rFonts w:ascii="Garamond" w:hAnsi="Garamond"/>
          <w:sz w:val="22"/>
        </w:rPr>
      </w:pPr>
    </w:p>
    <w:p w:rsidR="0068756E" w:rsidRDefault="0068756E" w:rsidP="00942F77">
      <w:pPr>
        <w:jc w:val="both"/>
        <w:rPr>
          <w:rFonts w:ascii="Garamond" w:hAnsi="Garamond"/>
          <w:sz w:val="22"/>
        </w:rPr>
      </w:pPr>
    </w:p>
    <w:p w:rsidR="0068756E" w:rsidRDefault="0068756E" w:rsidP="00942F77">
      <w:pPr>
        <w:jc w:val="both"/>
        <w:rPr>
          <w:rFonts w:ascii="Garamond" w:hAnsi="Garamond"/>
          <w:sz w:val="22"/>
        </w:rPr>
      </w:pPr>
    </w:p>
    <w:p w:rsidR="00942F77" w:rsidRPr="00902791" w:rsidRDefault="00942F77" w:rsidP="00942F77">
      <w:pPr>
        <w:pStyle w:val="Heading2"/>
        <w:keepLines w:val="0"/>
        <w:tabs>
          <w:tab w:val="left" w:pos="360"/>
          <w:tab w:val="left" w:pos="720"/>
        </w:tabs>
        <w:spacing w:before="0"/>
        <w:jc w:val="both"/>
        <w:rPr>
          <w:rFonts w:ascii="Garamond" w:hAnsi="Garamond"/>
          <w:color w:val="auto"/>
          <w:sz w:val="22"/>
        </w:rPr>
      </w:pPr>
      <w:r w:rsidRPr="00902791">
        <w:rPr>
          <w:rFonts w:ascii="Garamond" w:hAnsi="Garamond"/>
          <w:color w:val="auto"/>
          <w:sz w:val="22"/>
        </w:rPr>
        <w:tab/>
        <w:t>1.</w:t>
      </w:r>
      <w:r w:rsidRPr="00902791">
        <w:rPr>
          <w:rFonts w:ascii="Garamond" w:hAnsi="Garamond"/>
          <w:color w:val="auto"/>
          <w:sz w:val="22"/>
        </w:rPr>
        <w:tab/>
      </w:r>
      <w:r>
        <w:rPr>
          <w:rFonts w:ascii="Garamond" w:hAnsi="Garamond"/>
          <w:color w:val="auto"/>
          <w:sz w:val="22"/>
        </w:rPr>
        <w:t>Cover Sheet</w:t>
      </w:r>
    </w:p>
    <w:p w:rsidR="00942F77" w:rsidRPr="00060B4B" w:rsidRDefault="00942F77" w:rsidP="00942F77">
      <w:pPr>
        <w:pStyle w:val="Heading2"/>
        <w:spacing w:before="0"/>
        <w:ind w:left="720"/>
        <w:jc w:val="both"/>
        <w:rPr>
          <w:rFonts w:ascii="Garamond" w:hAnsi="Garamond"/>
          <w:b w:val="0"/>
          <w:color w:val="auto"/>
          <w:sz w:val="22"/>
        </w:rPr>
      </w:pPr>
      <w:r w:rsidRPr="00060B4B">
        <w:rPr>
          <w:rFonts w:ascii="Garamond" w:hAnsi="Garamond"/>
          <w:b w:val="0"/>
          <w:color w:val="auto"/>
          <w:sz w:val="22"/>
        </w:rPr>
        <w:t>Use the following format:</w:t>
      </w:r>
    </w:p>
    <w:p w:rsidR="00942F77" w:rsidRPr="00060B4B" w:rsidRDefault="00942F77" w:rsidP="00942F77">
      <w:pPr>
        <w:ind w:firstLine="720"/>
        <w:jc w:val="both"/>
        <w:rPr>
          <w:rFonts w:ascii="Garamond" w:hAnsi="Garamond"/>
          <w:sz w:val="22"/>
        </w:rPr>
      </w:pPr>
    </w:p>
    <w:p w:rsidR="00942F77" w:rsidRPr="00060B4B" w:rsidRDefault="00942F77" w:rsidP="00942F77">
      <w:pPr>
        <w:ind w:left="1440" w:hanging="360"/>
        <w:jc w:val="both"/>
        <w:rPr>
          <w:rFonts w:ascii="Garamond" w:hAnsi="Garamond"/>
          <w:sz w:val="22"/>
        </w:rPr>
      </w:pPr>
      <w:r w:rsidRPr="00060B4B">
        <w:rPr>
          <w:rFonts w:ascii="Garamond" w:hAnsi="Garamond"/>
          <w:sz w:val="22"/>
        </w:rPr>
        <w:t>Name:</w:t>
      </w:r>
    </w:p>
    <w:p w:rsidR="00942F77" w:rsidRPr="00060B4B" w:rsidRDefault="00942F77" w:rsidP="00942F77">
      <w:pPr>
        <w:ind w:left="1440" w:hanging="360"/>
        <w:jc w:val="both"/>
        <w:rPr>
          <w:rFonts w:ascii="Garamond" w:hAnsi="Garamond"/>
          <w:sz w:val="22"/>
        </w:rPr>
      </w:pPr>
      <w:r w:rsidRPr="00060B4B">
        <w:rPr>
          <w:rFonts w:ascii="Garamond" w:hAnsi="Garamond"/>
          <w:sz w:val="22"/>
        </w:rPr>
        <w:t>Email address:</w:t>
      </w:r>
    </w:p>
    <w:p w:rsidR="00942F77" w:rsidRPr="00060B4B" w:rsidRDefault="00942F77" w:rsidP="00942F77">
      <w:pPr>
        <w:ind w:left="1440" w:hanging="360"/>
        <w:jc w:val="both"/>
        <w:rPr>
          <w:rFonts w:ascii="Garamond" w:hAnsi="Garamond"/>
          <w:sz w:val="22"/>
        </w:rPr>
      </w:pPr>
      <w:r w:rsidRPr="00060B4B">
        <w:rPr>
          <w:rFonts w:ascii="Garamond" w:hAnsi="Garamond"/>
          <w:sz w:val="22"/>
        </w:rPr>
        <w:t>Department:</w:t>
      </w:r>
    </w:p>
    <w:p w:rsidR="00942F77" w:rsidRPr="00060B4B" w:rsidRDefault="00942F77" w:rsidP="00942F77">
      <w:pPr>
        <w:ind w:left="1440" w:hanging="360"/>
        <w:jc w:val="both"/>
        <w:rPr>
          <w:rFonts w:ascii="Garamond" w:hAnsi="Garamond"/>
          <w:sz w:val="22"/>
        </w:rPr>
      </w:pPr>
      <w:r w:rsidRPr="00060B4B">
        <w:rPr>
          <w:rFonts w:ascii="Garamond" w:hAnsi="Garamond"/>
          <w:sz w:val="22"/>
        </w:rPr>
        <w:t xml:space="preserve">Title of proposed SOSA </w:t>
      </w:r>
      <w:r>
        <w:rPr>
          <w:rFonts w:ascii="Garamond" w:hAnsi="Garamond"/>
          <w:sz w:val="22"/>
        </w:rPr>
        <w:t>program/</w:t>
      </w:r>
      <w:r w:rsidRPr="00060B4B">
        <w:rPr>
          <w:rFonts w:ascii="Garamond" w:hAnsi="Garamond"/>
          <w:sz w:val="22"/>
        </w:rPr>
        <w:t>project</w:t>
      </w:r>
      <w:r>
        <w:rPr>
          <w:rFonts w:ascii="Garamond" w:hAnsi="Garamond"/>
          <w:sz w:val="22"/>
        </w:rPr>
        <w:t>(s)</w:t>
      </w:r>
      <w:r w:rsidRPr="00060B4B">
        <w:rPr>
          <w:rFonts w:ascii="Garamond" w:hAnsi="Garamond"/>
          <w:sz w:val="22"/>
        </w:rPr>
        <w:t>:</w:t>
      </w:r>
    </w:p>
    <w:p w:rsidR="00942F77" w:rsidRPr="00060B4B" w:rsidRDefault="00942F77" w:rsidP="00942F77">
      <w:pPr>
        <w:ind w:left="1440" w:hanging="360"/>
        <w:jc w:val="both"/>
        <w:rPr>
          <w:rFonts w:ascii="Garamond" w:hAnsi="Garamond"/>
          <w:sz w:val="22"/>
        </w:rPr>
      </w:pPr>
      <w:r w:rsidRPr="00060B4B">
        <w:rPr>
          <w:rFonts w:ascii="Garamond" w:hAnsi="Garamond"/>
          <w:sz w:val="22"/>
        </w:rPr>
        <w:t>Year(s) of last two SOSA awards:</w:t>
      </w:r>
    </w:p>
    <w:p w:rsidR="00942F77" w:rsidRPr="00060B4B" w:rsidRDefault="00942F77" w:rsidP="00942F77">
      <w:pPr>
        <w:ind w:left="1440" w:hanging="360"/>
        <w:jc w:val="both"/>
        <w:rPr>
          <w:rFonts w:ascii="Garamond" w:hAnsi="Garamond"/>
          <w:sz w:val="22"/>
        </w:rPr>
      </w:pPr>
      <w:r w:rsidRPr="00060B4B">
        <w:rPr>
          <w:rFonts w:ascii="Garamond" w:hAnsi="Garamond"/>
          <w:sz w:val="22"/>
        </w:rPr>
        <w:t xml:space="preserve">Whether approval by IRB (human subjects) or IACUC (certain animal studies) has been received or is still needed. </w:t>
      </w:r>
    </w:p>
    <w:p w:rsidR="00942F77" w:rsidRDefault="00942F77" w:rsidP="00942F77">
      <w:pPr>
        <w:ind w:firstLine="720"/>
        <w:jc w:val="both"/>
        <w:rPr>
          <w:rFonts w:ascii="Garamond" w:hAnsi="Garamond"/>
          <w:sz w:val="22"/>
        </w:rPr>
      </w:pPr>
    </w:p>
    <w:p w:rsidR="00942F77" w:rsidRPr="00060B4B" w:rsidRDefault="00942F77" w:rsidP="00942F77">
      <w:pPr>
        <w:ind w:left="1440" w:hanging="360"/>
        <w:jc w:val="both"/>
        <w:rPr>
          <w:rFonts w:ascii="Garamond" w:hAnsi="Garamond"/>
          <w:sz w:val="22"/>
        </w:rPr>
      </w:pPr>
      <w:r w:rsidRPr="00060B4B">
        <w:rPr>
          <w:rFonts w:ascii="Garamond" w:hAnsi="Garamond"/>
          <w:sz w:val="22"/>
        </w:rPr>
        <w:t>The following statement, with Chairperson</w:t>
      </w:r>
      <w:r w:rsidR="00FE61E0">
        <w:rPr>
          <w:rFonts w:ascii="Garamond" w:hAnsi="Garamond"/>
          <w:sz w:val="22"/>
        </w:rPr>
        <w:t>’</w:t>
      </w:r>
      <w:r>
        <w:rPr>
          <w:rFonts w:ascii="Garamond" w:hAnsi="Garamond"/>
          <w:sz w:val="22"/>
        </w:rPr>
        <w:t>s</w:t>
      </w:r>
      <w:r w:rsidRPr="00060B4B">
        <w:rPr>
          <w:rFonts w:ascii="Garamond" w:hAnsi="Garamond"/>
          <w:sz w:val="22"/>
        </w:rPr>
        <w:t xml:space="preserve"> or Dean</w:t>
      </w:r>
      <w:r w:rsidR="00FE61E0">
        <w:rPr>
          <w:rFonts w:ascii="Garamond" w:hAnsi="Garamond"/>
          <w:sz w:val="22"/>
        </w:rPr>
        <w:t>’</w:t>
      </w:r>
      <w:r>
        <w:rPr>
          <w:rFonts w:ascii="Garamond" w:hAnsi="Garamond"/>
          <w:sz w:val="22"/>
        </w:rPr>
        <w:t>s</w:t>
      </w:r>
      <w:r w:rsidRPr="00060B4B">
        <w:rPr>
          <w:rFonts w:ascii="Garamond" w:hAnsi="Garamond"/>
          <w:sz w:val="22"/>
        </w:rPr>
        <w:t xml:space="preserve"> initials obtained</w:t>
      </w:r>
      <w:r>
        <w:rPr>
          <w:rFonts w:ascii="Garamond" w:hAnsi="Garamond"/>
          <w:sz w:val="22"/>
        </w:rPr>
        <w:t xml:space="preserve"> (init</w:t>
      </w:r>
      <w:r w:rsidRPr="00060B4B">
        <w:rPr>
          <w:rFonts w:ascii="Garamond" w:hAnsi="Garamond"/>
          <w:sz w:val="22"/>
        </w:rPr>
        <w:t>ials indicate only that a Chairperson or Dean is aware of the applicant</w:t>
      </w:r>
      <w:r w:rsidR="00FE61E0">
        <w:rPr>
          <w:rFonts w:ascii="Garamond" w:hAnsi="Garamond"/>
          <w:sz w:val="22"/>
        </w:rPr>
        <w:t>’</w:t>
      </w:r>
      <w:r w:rsidRPr="00060B4B">
        <w:rPr>
          <w:rFonts w:ascii="Garamond" w:hAnsi="Garamond"/>
          <w:sz w:val="22"/>
        </w:rPr>
        <w:t xml:space="preserve">s intention to apply for </w:t>
      </w:r>
      <w:r>
        <w:rPr>
          <w:rFonts w:ascii="Garamond" w:hAnsi="Garamond"/>
          <w:sz w:val="22"/>
        </w:rPr>
        <w:t xml:space="preserve">a </w:t>
      </w:r>
      <w:r w:rsidRPr="00060B4B">
        <w:rPr>
          <w:rFonts w:ascii="Garamond" w:hAnsi="Garamond"/>
          <w:sz w:val="22"/>
        </w:rPr>
        <w:t>SOSA</w:t>
      </w:r>
      <w:r>
        <w:rPr>
          <w:rFonts w:ascii="Garamond" w:hAnsi="Garamond"/>
          <w:sz w:val="22"/>
        </w:rPr>
        <w:t xml:space="preserve"> award</w:t>
      </w:r>
      <w:r w:rsidRPr="00060B4B">
        <w:rPr>
          <w:rFonts w:ascii="Garamond" w:hAnsi="Garamond"/>
          <w:sz w:val="22"/>
        </w:rPr>
        <w:t>.  There is no expectation that Deans or Chairpersons will r</w:t>
      </w:r>
      <w:r>
        <w:rPr>
          <w:rFonts w:ascii="Garamond" w:hAnsi="Garamond"/>
          <w:sz w:val="22"/>
        </w:rPr>
        <w:t>ead or review SOSA applications):</w:t>
      </w:r>
    </w:p>
    <w:p w:rsidR="00942F77" w:rsidRPr="00060B4B" w:rsidRDefault="00942F77" w:rsidP="00942F77">
      <w:pPr>
        <w:jc w:val="both"/>
        <w:rPr>
          <w:rFonts w:ascii="Garamond" w:hAnsi="Garamond"/>
          <w:sz w:val="22"/>
        </w:rPr>
      </w:pPr>
    </w:p>
    <w:p w:rsidR="00942F77" w:rsidRDefault="00942F77" w:rsidP="00942F77">
      <w:pPr>
        <w:ind w:left="1080"/>
        <w:jc w:val="both"/>
        <w:rPr>
          <w:rFonts w:ascii="Garamond" w:hAnsi="Garamond"/>
          <w:sz w:val="22"/>
        </w:rPr>
      </w:pPr>
      <w:r w:rsidRPr="00060B4B">
        <w:rPr>
          <w:rFonts w:ascii="Garamond" w:hAnsi="Garamond"/>
          <w:i/>
          <w:sz w:val="22"/>
        </w:rPr>
        <w:t>I have been informed of the applicant</w:t>
      </w:r>
      <w:r w:rsidR="00FE61E0">
        <w:rPr>
          <w:rFonts w:ascii="Garamond" w:hAnsi="Garamond"/>
          <w:i/>
          <w:sz w:val="22"/>
        </w:rPr>
        <w:t>’</w:t>
      </w:r>
      <w:r w:rsidRPr="00060B4B">
        <w:rPr>
          <w:rFonts w:ascii="Garamond" w:hAnsi="Garamond"/>
          <w:i/>
          <w:sz w:val="22"/>
        </w:rPr>
        <w:t xml:space="preserve">s intention to apply to have </w:t>
      </w:r>
      <w:r w:rsidR="00C81511">
        <w:rPr>
          <w:rFonts w:ascii="Garamond" w:hAnsi="Garamond"/>
          <w:i/>
          <w:sz w:val="22"/>
        </w:rPr>
        <w:t>SOSA alternate assignment</w:t>
      </w:r>
      <w:r w:rsidRPr="00060B4B">
        <w:rPr>
          <w:rFonts w:ascii="Garamond" w:hAnsi="Garamond"/>
          <w:i/>
          <w:sz w:val="22"/>
        </w:rPr>
        <w:t xml:space="preserve"> included within his/her workload.  I have discussed with the applicant the use of facilities, support staff, and any other College resources essential to the execution of his/her </w:t>
      </w:r>
      <w:r w:rsidR="00C81511">
        <w:rPr>
          <w:rFonts w:ascii="Garamond" w:hAnsi="Garamond"/>
          <w:i/>
          <w:sz w:val="22"/>
        </w:rPr>
        <w:t>proposed</w:t>
      </w:r>
      <w:r w:rsidRPr="00060B4B">
        <w:rPr>
          <w:rFonts w:ascii="Garamond" w:hAnsi="Garamond"/>
          <w:i/>
          <w:sz w:val="22"/>
        </w:rPr>
        <w:t xml:space="preserve"> activities.</w:t>
      </w:r>
      <w:r w:rsidRPr="00060B4B">
        <w:rPr>
          <w:rFonts w:ascii="Garamond" w:hAnsi="Garamond"/>
          <w:sz w:val="22"/>
        </w:rPr>
        <w:t xml:space="preserve"> </w:t>
      </w:r>
      <w:r w:rsidRPr="00060B4B">
        <w:rPr>
          <w:rFonts w:ascii="Garamond" w:hAnsi="Garamond"/>
          <w:sz w:val="22"/>
        </w:rPr>
        <w:tab/>
      </w:r>
      <w:r w:rsidRPr="00060B4B">
        <w:rPr>
          <w:rFonts w:ascii="Garamond" w:hAnsi="Garamond"/>
          <w:sz w:val="22"/>
        </w:rPr>
        <w:tab/>
      </w:r>
      <w:r w:rsidRPr="00060B4B">
        <w:rPr>
          <w:rFonts w:ascii="Garamond" w:hAnsi="Garamond"/>
          <w:sz w:val="22"/>
        </w:rPr>
        <w:tab/>
      </w:r>
    </w:p>
    <w:p w:rsidR="00942F77" w:rsidRDefault="00942F77" w:rsidP="00942F77">
      <w:pPr>
        <w:ind w:left="1800" w:firstLine="360"/>
        <w:jc w:val="both"/>
        <w:rPr>
          <w:rFonts w:ascii="Garamond" w:hAnsi="Garamond"/>
          <w:sz w:val="22"/>
        </w:rPr>
      </w:pPr>
      <w:r w:rsidRPr="00060B4B">
        <w:rPr>
          <w:rFonts w:ascii="Garamond" w:hAnsi="Garamond"/>
          <w:sz w:val="22"/>
        </w:rPr>
        <w:t>Chairperson or Dean Initials__________</w:t>
      </w:r>
    </w:p>
    <w:p w:rsidR="00942F77" w:rsidRPr="00060B4B" w:rsidRDefault="00942F77" w:rsidP="00942F77">
      <w:pPr>
        <w:ind w:left="1800" w:firstLine="360"/>
        <w:jc w:val="both"/>
        <w:rPr>
          <w:rFonts w:ascii="Garamond" w:hAnsi="Garamond"/>
          <w:sz w:val="22"/>
        </w:rPr>
      </w:pPr>
    </w:p>
    <w:p w:rsidR="00942F77" w:rsidRPr="006774D2" w:rsidRDefault="00942F77" w:rsidP="00942F77">
      <w:pPr>
        <w:pStyle w:val="ListParagraph"/>
        <w:numPr>
          <w:ilvl w:val="0"/>
          <w:numId w:val="5"/>
        </w:numPr>
        <w:tabs>
          <w:tab w:val="left" w:pos="720"/>
          <w:tab w:val="left" w:pos="1080"/>
        </w:tabs>
        <w:ind w:firstLine="0"/>
        <w:jc w:val="both"/>
        <w:rPr>
          <w:rFonts w:ascii="Garamond" w:hAnsi="Garamond"/>
          <w:b/>
          <w:sz w:val="22"/>
        </w:rPr>
      </w:pPr>
      <w:r w:rsidRPr="006774D2">
        <w:rPr>
          <w:rFonts w:ascii="Garamond" w:hAnsi="Garamond"/>
          <w:b/>
          <w:sz w:val="22"/>
        </w:rPr>
        <w:t>Proposal Narrative (Description</w:t>
      </w:r>
      <w:r>
        <w:rPr>
          <w:rFonts w:ascii="Garamond" w:hAnsi="Garamond"/>
          <w:b/>
          <w:sz w:val="22"/>
        </w:rPr>
        <w:t xml:space="preserve"> of the Proposed SOSA Program/Project)</w:t>
      </w:r>
    </w:p>
    <w:p w:rsidR="00942F77" w:rsidRPr="006774D2" w:rsidRDefault="00942F77" w:rsidP="00942F77">
      <w:pPr>
        <w:tabs>
          <w:tab w:val="left" w:pos="720"/>
          <w:tab w:val="left" w:pos="1080"/>
        </w:tabs>
        <w:ind w:left="720" w:hanging="720"/>
        <w:jc w:val="both"/>
        <w:rPr>
          <w:rFonts w:ascii="Garamond" w:hAnsi="Garamond"/>
          <w:sz w:val="22"/>
        </w:rPr>
      </w:pPr>
      <w:r>
        <w:rPr>
          <w:rFonts w:ascii="Garamond" w:hAnsi="Garamond"/>
          <w:sz w:val="22"/>
        </w:rPr>
        <w:tab/>
      </w:r>
      <w:r w:rsidRPr="006774D2">
        <w:rPr>
          <w:rFonts w:ascii="Garamond" w:hAnsi="Garamond"/>
          <w:sz w:val="22"/>
        </w:rPr>
        <w:t xml:space="preserve">The SOSA Committee will evaluate </w:t>
      </w:r>
      <w:r>
        <w:rPr>
          <w:rFonts w:ascii="Garamond" w:hAnsi="Garamond"/>
          <w:sz w:val="22"/>
        </w:rPr>
        <w:t>each proposal</w:t>
      </w:r>
      <w:r w:rsidRPr="006774D2">
        <w:rPr>
          <w:rFonts w:ascii="Garamond" w:hAnsi="Garamond"/>
          <w:sz w:val="22"/>
        </w:rPr>
        <w:t xml:space="preserve"> </w:t>
      </w:r>
      <w:r>
        <w:rPr>
          <w:rFonts w:ascii="Garamond" w:hAnsi="Garamond"/>
          <w:sz w:val="22"/>
        </w:rPr>
        <w:t>based the review criteria outlined below</w:t>
      </w:r>
      <w:r w:rsidRPr="006774D2">
        <w:rPr>
          <w:rFonts w:ascii="Garamond" w:hAnsi="Garamond"/>
          <w:sz w:val="22"/>
        </w:rPr>
        <w:t>; however, the applicant should keep in mind that non-specialists will be evaluating the proposal.  It is the applicant</w:t>
      </w:r>
      <w:r w:rsidR="00FE61E0">
        <w:rPr>
          <w:rFonts w:ascii="Garamond" w:hAnsi="Garamond"/>
          <w:sz w:val="22"/>
        </w:rPr>
        <w:t>’</w:t>
      </w:r>
      <w:r w:rsidRPr="006774D2">
        <w:rPr>
          <w:rFonts w:ascii="Garamond" w:hAnsi="Garamond"/>
          <w:sz w:val="22"/>
        </w:rPr>
        <w:t xml:space="preserve">s responsibility to present the proposed </w:t>
      </w:r>
      <w:r>
        <w:rPr>
          <w:rFonts w:ascii="Garamond" w:hAnsi="Garamond"/>
          <w:sz w:val="22"/>
        </w:rPr>
        <w:t>program/</w:t>
      </w:r>
      <w:r w:rsidRPr="006774D2">
        <w:rPr>
          <w:rFonts w:ascii="Garamond" w:hAnsi="Garamond"/>
          <w:sz w:val="22"/>
        </w:rPr>
        <w:t xml:space="preserve">project in a clear, well-organized manner that effectively communicates the </w:t>
      </w:r>
      <w:r>
        <w:rPr>
          <w:rFonts w:ascii="Garamond" w:hAnsi="Garamond"/>
          <w:sz w:val="22"/>
        </w:rPr>
        <w:t>all elements of the proposal</w:t>
      </w:r>
      <w:r w:rsidRPr="006774D2">
        <w:rPr>
          <w:rFonts w:ascii="Garamond" w:hAnsi="Garamond"/>
          <w:sz w:val="22"/>
        </w:rPr>
        <w:t xml:space="preserve"> to th</w:t>
      </w:r>
      <w:r>
        <w:rPr>
          <w:rFonts w:ascii="Garamond" w:hAnsi="Garamond"/>
          <w:sz w:val="22"/>
        </w:rPr>
        <w:t>e</w:t>
      </w:r>
      <w:r w:rsidRPr="006774D2">
        <w:rPr>
          <w:rFonts w:ascii="Garamond" w:hAnsi="Garamond"/>
          <w:sz w:val="22"/>
        </w:rPr>
        <w:t xml:space="preserve"> </w:t>
      </w:r>
      <w:r>
        <w:rPr>
          <w:rFonts w:ascii="Garamond" w:hAnsi="Garamond"/>
          <w:sz w:val="22"/>
        </w:rPr>
        <w:t xml:space="preserve">SOSA </w:t>
      </w:r>
      <w:r w:rsidRPr="006774D2">
        <w:rPr>
          <w:rFonts w:ascii="Garamond" w:hAnsi="Garamond"/>
          <w:sz w:val="22"/>
        </w:rPr>
        <w:t>Committee</w:t>
      </w:r>
      <w:r>
        <w:rPr>
          <w:rFonts w:ascii="Garamond" w:hAnsi="Garamond"/>
          <w:sz w:val="22"/>
        </w:rPr>
        <w:t>, which is comprised of members</w:t>
      </w:r>
      <w:r w:rsidRPr="006774D2">
        <w:rPr>
          <w:rFonts w:ascii="Garamond" w:hAnsi="Garamond"/>
          <w:sz w:val="22"/>
        </w:rPr>
        <w:t xml:space="preserve"> with broad disciplinary representation. </w:t>
      </w:r>
    </w:p>
    <w:p w:rsidR="00942F77" w:rsidRPr="00060B4B" w:rsidRDefault="00942F77" w:rsidP="00942F77">
      <w:pPr>
        <w:pStyle w:val="Heading3"/>
        <w:spacing w:before="0"/>
        <w:ind w:left="720"/>
        <w:jc w:val="both"/>
        <w:rPr>
          <w:rFonts w:ascii="Garamond" w:hAnsi="Garamond"/>
          <w:b w:val="0"/>
          <w:color w:val="auto"/>
          <w:sz w:val="22"/>
        </w:rPr>
      </w:pPr>
    </w:p>
    <w:p w:rsidR="00942F77" w:rsidRDefault="00942F77" w:rsidP="00942F77">
      <w:pPr>
        <w:ind w:left="720"/>
        <w:jc w:val="both"/>
        <w:rPr>
          <w:rFonts w:ascii="Garamond" w:hAnsi="Garamond"/>
          <w:sz w:val="22"/>
        </w:rPr>
      </w:pPr>
      <w:r>
        <w:rPr>
          <w:rFonts w:ascii="Garamond" w:hAnsi="Garamond"/>
          <w:sz w:val="22"/>
        </w:rPr>
        <w:t>The Proposal N</w:t>
      </w:r>
      <w:r w:rsidRPr="00060B4B">
        <w:rPr>
          <w:rFonts w:ascii="Garamond" w:hAnsi="Garamond"/>
          <w:sz w:val="22"/>
        </w:rPr>
        <w:t>arrative should be no more than 3 single-spaced pages (1</w:t>
      </w:r>
      <w:r>
        <w:rPr>
          <w:rFonts w:ascii="Garamond" w:hAnsi="Garamond"/>
          <w:sz w:val="22"/>
        </w:rPr>
        <w:t>-</w:t>
      </w:r>
      <w:r w:rsidRPr="00060B4B">
        <w:rPr>
          <w:rFonts w:ascii="Garamond" w:hAnsi="Garamond"/>
          <w:sz w:val="22"/>
        </w:rPr>
        <w:t>inch margins, Times New Roman font, 12 pt font;</w:t>
      </w:r>
      <w:r w:rsidRPr="00060B4B">
        <w:rPr>
          <w:rFonts w:ascii="Garamond" w:hAnsi="Garamond"/>
          <w:i/>
          <w:sz w:val="22"/>
        </w:rPr>
        <w:t xml:space="preserve"> do not exceed the page limit.  Committee members will not read beyond three single</w:t>
      </w:r>
      <w:r>
        <w:rPr>
          <w:rFonts w:ascii="Garamond" w:hAnsi="Garamond"/>
          <w:i/>
          <w:sz w:val="22"/>
        </w:rPr>
        <w:t>-</w:t>
      </w:r>
      <w:r w:rsidRPr="00060B4B">
        <w:rPr>
          <w:rFonts w:ascii="Garamond" w:hAnsi="Garamond"/>
          <w:i/>
          <w:sz w:val="22"/>
        </w:rPr>
        <w:t>spaced pages)</w:t>
      </w:r>
      <w:r>
        <w:rPr>
          <w:rFonts w:ascii="Garamond" w:hAnsi="Garamond"/>
          <w:sz w:val="22"/>
        </w:rPr>
        <w:t xml:space="preserve">, </w:t>
      </w:r>
      <w:r w:rsidRPr="00060B4B">
        <w:rPr>
          <w:rFonts w:ascii="Garamond" w:hAnsi="Garamond"/>
          <w:sz w:val="22"/>
        </w:rPr>
        <w:t>and should include the following three</w:t>
      </w:r>
      <w:r w:rsidRPr="00060B4B">
        <w:rPr>
          <w:rFonts w:ascii="Garamond" w:hAnsi="Garamond"/>
          <w:b/>
          <w:sz w:val="22"/>
        </w:rPr>
        <w:t xml:space="preserve"> </w:t>
      </w:r>
      <w:r w:rsidRPr="00060B4B">
        <w:rPr>
          <w:rFonts w:ascii="Garamond" w:hAnsi="Garamond"/>
          <w:sz w:val="22"/>
        </w:rPr>
        <w:t>titled sections:</w:t>
      </w:r>
    </w:p>
    <w:p w:rsidR="00942F77" w:rsidRPr="00060B4B" w:rsidRDefault="00942F77" w:rsidP="00942F77">
      <w:pPr>
        <w:jc w:val="both"/>
        <w:rPr>
          <w:rFonts w:ascii="Garamond" w:hAnsi="Garamond"/>
          <w:sz w:val="22"/>
        </w:rPr>
      </w:pPr>
    </w:p>
    <w:p w:rsidR="00942F77" w:rsidRDefault="00942F77" w:rsidP="00773184">
      <w:pPr>
        <w:pStyle w:val="ListParagraph"/>
        <w:numPr>
          <w:ilvl w:val="0"/>
          <w:numId w:val="32"/>
        </w:numPr>
        <w:jc w:val="both"/>
        <w:rPr>
          <w:rFonts w:ascii="Garamond" w:hAnsi="Garamond"/>
          <w:sz w:val="22"/>
        </w:rPr>
      </w:pPr>
      <w:r w:rsidRPr="006774D2">
        <w:rPr>
          <w:rFonts w:ascii="Garamond" w:hAnsi="Garamond"/>
          <w:i/>
          <w:sz w:val="22"/>
        </w:rPr>
        <w:t>Intellectual Merit</w:t>
      </w:r>
      <w:r w:rsidRPr="006774D2">
        <w:rPr>
          <w:rFonts w:ascii="Garamond" w:hAnsi="Garamond"/>
          <w:sz w:val="22"/>
        </w:rPr>
        <w:t xml:space="preserve"> – The applicant should describe the ideas, goals, and methods of the scholarly/creative/professional </w:t>
      </w:r>
      <w:r>
        <w:rPr>
          <w:rFonts w:ascii="Garamond" w:hAnsi="Garamond"/>
          <w:sz w:val="22"/>
        </w:rPr>
        <w:t xml:space="preserve">program or </w:t>
      </w:r>
      <w:r w:rsidRPr="006774D2">
        <w:rPr>
          <w:rFonts w:ascii="Garamond" w:hAnsi="Garamond"/>
          <w:sz w:val="22"/>
        </w:rPr>
        <w:t xml:space="preserve">project(s) </w:t>
      </w:r>
      <w:r>
        <w:rPr>
          <w:rFonts w:ascii="Garamond" w:hAnsi="Garamond"/>
          <w:sz w:val="22"/>
        </w:rPr>
        <w:t xml:space="preserve">that </w:t>
      </w:r>
      <w:r w:rsidRPr="006774D2">
        <w:rPr>
          <w:rFonts w:ascii="Garamond" w:hAnsi="Garamond"/>
          <w:sz w:val="22"/>
        </w:rPr>
        <w:t>she/he will be conducting over the two-year SOSA award, its context and importance to the applicant</w:t>
      </w:r>
      <w:r w:rsidR="00FE61E0">
        <w:rPr>
          <w:rFonts w:ascii="Garamond" w:hAnsi="Garamond"/>
          <w:sz w:val="22"/>
        </w:rPr>
        <w:t>’</w:t>
      </w:r>
      <w:r w:rsidRPr="006774D2">
        <w:rPr>
          <w:rFonts w:ascii="Garamond" w:hAnsi="Garamond"/>
          <w:sz w:val="22"/>
        </w:rPr>
        <w:t>s discipline, and an indication of the eventual scholarly outcome</w:t>
      </w:r>
      <w:r>
        <w:rPr>
          <w:rFonts w:ascii="Garamond" w:hAnsi="Garamond"/>
          <w:sz w:val="22"/>
        </w:rPr>
        <w:t>s</w:t>
      </w:r>
      <w:r w:rsidRPr="006774D2">
        <w:rPr>
          <w:rFonts w:ascii="Garamond" w:hAnsi="Garamond"/>
          <w:sz w:val="22"/>
        </w:rPr>
        <w:t>.</w:t>
      </w:r>
      <w:r w:rsidRPr="006774D2">
        <w:rPr>
          <w:rFonts w:ascii="Garamond" w:hAnsi="Garamond"/>
          <w:b/>
          <w:sz w:val="22"/>
        </w:rPr>
        <w:t xml:space="preserve"> </w:t>
      </w:r>
      <w:r w:rsidRPr="006774D2">
        <w:rPr>
          <w:rFonts w:ascii="Garamond" w:hAnsi="Garamond"/>
          <w:sz w:val="22"/>
        </w:rPr>
        <w:t xml:space="preserve"> The applicant</w:t>
      </w:r>
      <w:r w:rsidR="00FE61E0">
        <w:rPr>
          <w:rFonts w:ascii="Garamond" w:hAnsi="Garamond"/>
          <w:sz w:val="22"/>
        </w:rPr>
        <w:t>’</w:t>
      </w:r>
      <w:r w:rsidRPr="006774D2">
        <w:rPr>
          <w:rFonts w:ascii="Garamond" w:hAnsi="Garamond"/>
          <w:sz w:val="22"/>
        </w:rPr>
        <w:t>s description should include the following:</w:t>
      </w:r>
    </w:p>
    <w:p w:rsidR="00942F77" w:rsidRPr="006774D2" w:rsidRDefault="00942F77" w:rsidP="00942F77">
      <w:pPr>
        <w:ind w:left="720"/>
        <w:jc w:val="both"/>
        <w:rPr>
          <w:rFonts w:ascii="Garamond" w:hAnsi="Garamond"/>
          <w:sz w:val="22"/>
        </w:rPr>
      </w:pPr>
    </w:p>
    <w:p w:rsidR="00942F77" w:rsidRDefault="00942F77" w:rsidP="00942F77">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Description of proposed activity</w:t>
      </w:r>
      <w:r w:rsidR="00B237E8">
        <w:rPr>
          <w:rFonts w:ascii="Garamond" w:hAnsi="Garamond"/>
          <w:sz w:val="22"/>
        </w:rPr>
        <w:t xml:space="preserve"> – </w:t>
      </w:r>
      <w:r w:rsidRPr="006774D2">
        <w:rPr>
          <w:rFonts w:ascii="Garamond" w:hAnsi="Garamond"/>
          <w:sz w:val="22"/>
        </w:rPr>
        <w:t xml:space="preserve">an overview of </w:t>
      </w:r>
      <w:r>
        <w:rPr>
          <w:rFonts w:ascii="Garamond" w:hAnsi="Garamond"/>
          <w:sz w:val="22"/>
        </w:rPr>
        <w:t xml:space="preserve">the </w:t>
      </w:r>
      <w:r w:rsidRPr="006774D2">
        <w:rPr>
          <w:rFonts w:ascii="Garamond" w:hAnsi="Garamond"/>
          <w:sz w:val="22"/>
        </w:rPr>
        <w:t xml:space="preserve">planned scholarly/creative/professional </w:t>
      </w:r>
      <w:r>
        <w:rPr>
          <w:rFonts w:ascii="Garamond" w:hAnsi="Garamond"/>
          <w:sz w:val="22"/>
        </w:rPr>
        <w:t>program/</w:t>
      </w:r>
      <w:r w:rsidRPr="006774D2">
        <w:rPr>
          <w:rFonts w:ascii="Garamond" w:hAnsi="Garamond"/>
          <w:sz w:val="22"/>
        </w:rPr>
        <w:t xml:space="preserve">project(s).  The description should be scholarly, yet accessible to the non-specialist. </w:t>
      </w:r>
    </w:p>
    <w:p w:rsidR="00942F77" w:rsidRPr="006774D2" w:rsidRDefault="00942F77" w:rsidP="00942F77">
      <w:pPr>
        <w:tabs>
          <w:tab w:val="num" w:pos="1710"/>
        </w:tabs>
        <w:ind w:left="1710" w:hanging="270"/>
        <w:jc w:val="both"/>
        <w:rPr>
          <w:rFonts w:ascii="Garamond" w:hAnsi="Garamond"/>
          <w:sz w:val="22"/>
        </w:rPr>
      </w:pPr>
    </w:p>
    <w:p w:rsidR="00942F77" w:rsidRDefault="00942F77" w:rsidP="00942F77">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Significance</w:t>
      </w:r>
      <w:r w:rsidR="00B237E8">
        <w:rPr>
          <w:rFonts w:ascii="Garamond" w:hAnsi="Garamond"/>
          <w:sz w:val="22"/>
        </w:rPr>
        <w:t xml:space="preserve"> – </w:t>
      </w:r>
      <w:r w:rsidRPr="006774D2">
        <w:rPr>
          <w:rFonts w:ascii="Garamond" w:hAnsi="Garamond"/>
          <w:sz w:val="22"/>
        </w:rPr>
        <w:t>an explanation of how the applicant</w:t>
      </w:r>
      <w:r w:rsidR="00FE61E0">
        <w:rPr>
          <w:rFonts w:ascii="Garamond" w:hAnsi="Garamond"/>
          <w:sz w:val="22"/>
        </w:rPr>
        <w:t>’</w:t>
      </w:r>
      <w:r w:rsidRPr="006774D2">
        <w:rPr>
          <w:rFonts w:ascii="Garamond" w:hAnsi="Garamond"/>
          <w:sz w:val="22"/>
        </w:rPr>
        <w:t xml:space="preserve">s proposed work fits into the broader category of research </w:t>
      </w:r>
      <w:r>
        <w:rPr>
          <w:rFonts w:ascii="Garamond" w:hAnsi="Garamond"/>
          <w:sz w:val="22"/>
        </w:rPr>
        <w:t xml:space="preserve">in the field(s) </w:t>
      </w:r>
      <w:r w:rsidRPr="006774D2">
        <w:rPr>
          <w:rFonts w:ascii="Garamond" w:hAnsi="Garamond"/>
          <w:sz w:val="22"/>
        </w:rPr>
        <w:t>being conducted by others regionally, nationally, and/or internationally.</w:t>
      </w:r>
    </w:p>
    <w:p w:rsidR="00942F77" w:rsidRPr="006774D2" w:rsidRDefault="00942F77" w:rsidP="00942F77">
      <w:pPr>
        <w:tabs>
          <w:tab w:val="num" w:pos="1710"/>
        </w:tabs>
        <w:ind w:left="1710" w:hanging="270"/>
        <w:jc w:val="both"/>
        <w:rPr>
          <w:rFonts w:ascii="Garamond" w:hAnsi="Garamond"/>
          <w:sz w:val="22"/>
        </w:rPr>
      </w:pPr>
    </w:p>
    <w:p w:rsidR="00942F77" w:rsidRDefault="00942F77" w:rsidP="00942F77">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Objectives</w:t>
      </w:r>
      <w:r w:rsidR="00B237E8">
        <w:rPr>
          <w:rFonts w:ascii="Garamond" w:hAnsi="Garamond"/>
          <w:sz w:val="22"/>
        </w:rPr>
        <w:t xml:space="preserve"> – </w:t>
      </w:r>
      <w:r w:rsidRPr="006774D2">
        <w:rPr>
          <w:rFonts w:ascii="Garamond" w:hAnsi="Garamond"/>
          <w:sz w:val="22"/>
        </w:rPr>
        <w:t>an indication of the applicant</w:t>
      </w:r>
      <w:r w:rsidR="00FE61E0">
        <w:rPr>
          <w:rFonts w:ascii="Garamond" w:hAnsi="Garamond"/>
          <w:sz w:val="22"/>
        </w:rPr>
        <w:t>’</w:t>
      </w:r>
      <w:r w:rsidRPr="006774D2">
        <w:rPr>
          <w:rFonts w:ascii="Garamond" w:hAnsi="Garamond"/>
          <w:sz w:val="22"/>
        </w:rPr>
        <w:t>s goals and plans for accomplishment during the two-year SOSA award period.   Specification of methods to achieve the proposed goals and a timeline of activities is often helpful in evaluating the feasibility of the proposed work.</w:t>
      </w:r>
    </w:p>
    <w:p w:rsidR="00942F77" w:rsidRPr="006774D2" w:rsidRDefault="00942F77" w:rsidP="00942F77">
      <w:pPr>
        <w:tabs>
          <w:tab w:val="num" w:pos="1710"/>
        </w:tabs>
        <w:ind w:left="1710" w:hanging="270"/>
        <w:jc w:val="both"/>
        <w:rPr>
          <w:rFonts w:ascii="Garamond" w:hAnsi="Garamond"/>
          <w:sz w:val="22"/>
        </w:rPr>
      </w:pPr>
    </w:p>
    <w:p w:rsidR="00942F77" w:rsidRPr="006774D2" w:rsidRDefault="00942F77" w:rsidP="00942F77">
      <w:pPr>
        <w:numPr>
          <w:ilvl w:val="0"/>
          <w:numId w:val="8"/>
        </w:numPr>
        <w:tabs>
          <w:tab w:val="clear" w:pos="1080"/>
          <w:tab w:val="num" w:pos="1710"/>
        </w:tabs>
        <w:ind w:left="1710" w:hanging="270"/>
        <w:jc w:val="both"/>
        <w:rPr>
          <w:rFonts w:ascii="Garamond" w:hAnsi="Garamond"/>
          <w:sz w:val="22"/>
        </w:rPr>
      </w:pPr>
      <w:r w:rsidRPr="006774D2">
        <w:rPr>
          <w:rFonts w:ascii="Garamond" w:hAnsi="Garamond"/>
          <w:sz w:val="22"/>
        </w:rPr>
        <w:t>Dissemination</w:t>
      </w:r>
      <w:r w:rsidR="00B237E8">
        <w:rPr>
          <w:rFonts w:ascii="Garamond" w:hAnsi="Garamond"/>
          <w:sz w:val="22"/>
        </w:rPr>
        <w:t xml:space="preserve"> – </w:t>
      </w:r>
      <w:r w:rsidRPr="006774D2">
        <w:rPr>
          <w:rFonts w:ascii="Garamond" w:hAnsi="Garamond"/>
          <w:sz w:val="22"/>
        </w:rPr>
        <w:t>the applicant</w:t>
      </w:r>
      <w:r w:rsidR="00FE61E0">
        <w:rPr>
          <w:rFonts w:ascii="Garamond" w:hAnsi="Garamond"/>
          <w:sz w:val="22"/>
        </w:rPr>
        <w:t>’</w:t>
      </w:r>
      <w:r w:rsidRPr="006774D2">
        <w:rPr>
          <w:rFonts w:ascii="Garamond" w:hAnsi="Garamond"/>
          <w:sz w:val="22"/>
        </w:rPr>
        <w:t>s expectation for sharing the results of proposed work (e.g. scholarly article, book, conference presentation, exhibition, etc.).</w:t>
      </w:r>
    </w:p>
    <w:p w:rsidR="00942F77" w:rsidRPr="006774D2" w:rsidRDefault="00942F77" w:rsidP="00942F77">
      <w:pPr>
        <w:jc w:val="both"/>
        <w:rPr>
          <w:rFonts w:ascii="Garamond" w:hAnsi="Garamond"/>
          <w:sz w:val="22"/>
        </w:rPr>
      </w:pPr>
    </w:p>
    <w:p w:rsidR="00942F77" w:rsidRPr="006774D2" w:rsidRDefault="00942F77" w:rsidP="00942F77">
      <w:pPr>
        <w:pStyle w:val="ListParagraph"/>
        <w:numPr>
          <w:ilvl w:val="0"/>
          <w:numId w:val="32"/>
        </w:numPr>
        <w:jc w:val="both"/>
        <w:rPr>
          <w:rFonts w:ascii="Garamond" w:hAnsi="Garamond"/>
          <w:sz w:val="22"/>
        </w:rPr>
      </w:pPr>
      <w:r w:rsidRPr="006774D2">
        <w:rPr>
          <w:rFonts w:ascii="Garamond" w:hAnsi="Garamond"/>
          <w:i/>
          <w:sz w:val="22"/>
        </w:rPr>
        <w:t>Qualifications/Expertise of the Applicant</w:t>
      </w:r>
      <w:r w:rsidRPr="006774D2">
        <w:rPr>
          <w:rFonts w:ascii="Garamond" w:hAnsi="Garamond"/>
          <w:sz w:val="22"/>
        </w:rPr>
        <w:t xml:space="preserve"> – Describe the </w:t>
      </w:r>
      <w:r w:rsidRPr="006774D2">
        <w:rPr>
          <w:rFonts w:ascii="Garamond" w:hAnsi="Garamond"/>
          <w:sz w:val="22"/>
          <w:szCs w:val="18"/>
        </w:rPr>
        <w:t>qualifications and expertise of the faculty</w:t>
      </w:r>
      <w:r w:rsidR="00F75F7B">
        <w:rPr>
          <w:rFonts w:ascii="Garamond" w:hAnsi="Garamond"/>
          <w:sz w:val="22"/>
          <w:szCs w:val="18"/>
        </w:rPr>
        <w:t>/librarian</w:t>
      </w:r>
      <w:r w:rsidRPr="006774D2">
        <w:rPr>
          <w:rFonts w:ascii="Garamond" w:hAnsi="Garamond"/>
          <w:sz w:val="22"/>
          <w:szCs w:val="18"/>
        </w:rPr>
        <w:t xml:space="preserve"> applicant, particularly as these are related to the applicant</w:t>
      </w:r>
      <w:r w:rsidR="00FE61E0">
        <w:rPr>
          <w:rFonts w:ascii="Garamond" w:hAnsi="Garamond"/>
          <w:sz w:val="22"/>
          <w:szCs w:val="18"/>
        </w:rPr>
        <w:t>’</w:t>
      </w:r>
      <w:r w:rsidRPr="006774D2">
        <w:rPr>
          <w:rFonts w:ascii="Garamond" w:hAnsi="Garamond"/>
          <w:sz w:val="22"/>
          <w:szCs w:val="18"/>
        </w:rPr>
        <w:t xml:space="preserve">s ability to conduct the proposed </w:t>
      </w:r>
      <w:r>
        <w:rPr>
          <w:rFonts w:ascii="Garamond" w:hAnsi="Garamond"/>
          <w:sz w:val="22"/>
          <w:szCs w:val="18"/>
        </w:rPr>
        <w:t>work</w:t>
      </w:r>
      <w:r w:rsidRPr="006774D2">
        <w:rPr>
          <w:rFonts w:ascii="Garamond" w:hAnsi="Garamond"/>
          <w:sz w:val="22"/>
          <w:szCs w:val="18"/>
        </w:rPr>
        <w:t xml:space="preserve"> and to achieve the expected objectives.  If collaborations or other resources will be needed to complete the proposed work, describe if these have been established and/or secured yet.  The applicant should also briefly summarize her/his past scholarly/creative accomplishments (including outcomes from past SOSA awards) within the context of her/his overall scholarly/creative program.</w:t>
      </w:r>
    </w:p>
    <w:p w:rsidR="00942F77" w:rsidRPr="006774D2" w:rsidRDefault="00942F77" w:rsidP="00942F77">
      <w:pPr>
        <w:jc w:val="both"/>
        <w:rPr>
          <w:rFonts w:ascii="Garamond" w:hAnsi="Garamond"/>
          <w:sz w:val="22"/>
        </w:rPr>
      </w:pPr>
    </w:p>
    <w:p w:rsidR="00942F77" w:rsidRPr="006774D2" w:rsidRDefault="00942F77" w:rsidP="00942F77">
      <w:pPr>
        <w:pStyle w:val="ListParagraph"/>
        <w:numPr>
          <w:ilvl w:val="0"/>
          <w:numId w:val="32"/>
        </w:numPr>
        <w:jc w:val="both"/>
        <w:rPr>
          <w:rFonts w:ascii="Garamond" w:hAnsi="Garamond"/>
          <w:sz w:val="22"/>
        </w:rPr>
      </w:pPr>
      <w:r w:rsidRPr="006774D2">
        <w:rPr>
          <w:rFonts w:ascii="Garamond" w:hAnsi="Garamond"/>
          <w:i/>
          <w:sz w:val="22"/>
        </w:rPr>
        <w:t>Broader Impacts</w:t>
      </w:r>
      <w:r w:rsidRPr="006774D2">
        <w:rPr>
          <w:rFonts w:ascii="Garamond" w:hAnsi="Garamond"/>
          <w:sz w:val="22"/>
        </w:rPr>
        <w:t xml:space="preserve"> – Explain how the SOSA award will be important for the applicant at this point in time. </w:t>
      </w:r>
      <w:r>
        <w:rPr>
          <w:rFonts w:ascii="Garamond" w:hAnsi="Garamond"/>
          <w:sz w:val="22"/>
        </w:rPr>
        <w:t>In particular, is the</w:t>
      </w:r>
      <w:r w:rsidR="00897455">
        <w:rPr>
          <w:rFonts w:ascii="Garamond" w:hAnsi="Garamond"/>
          <w:sz w:val="22"/>
        </w:rPr>
        <w:t xml:space="preserve"> </w:t>
      </w:r>
      <w:r w:rsidRPr="006774D2">
        <w:rPr>
          <w:rFonts w:ascii="Garamond" w:hAnsi="Garamond"/>
          <w:sz w:val="22"/>
        </w:rPr>
        <w:t xml:space="preserve">applicant </w:t>
      </w:r>
      <w:r w:rsidR="00C20FE3">
        <w:rPr>
          <w:rFonts w:ascii="Garamond" w:hAnsi="Garamond"/>
          <w:sz w:val="22"/>
        </w:rPr>
        <w:t>pre-tenure or</w:t>
      </w:r>
      <w:r w:rsidRPr="006774D2">
        <w:rPr>
          <w:rFonts w:ascii="Garamond" w:hAnsi="Garamond"/>
          <w:sz w:val="22"/>
        </w:rPr>
        <w:t xml:space="preserve"> re-engaging in a scholarly</w:t>
      </w:r>
      <w:r w:rsidR="00C20FE3">
        <w:rPr>
          <w:rFonts w:ascii="Garamond" w:hAnsi="Garamond"/>
          <w:sz w:val="22"/>
        </w:rPr>
        <w:t>/creative/</w:t>
      </w:r>
      <w:r w:rsidR="00897455">
        <w:rPr>
          <w:rFonts w:ascii="Garamond" w:hAnsi="Garamond"/>
          <w:sz w:val="22"/>
        </w:rPr>
        <w:t>professional</w:t>
      </w:r>
      <w:r w:rsidR="00C20FE3">
        <w:rPr>
          <w:rFonts w:ascii="Garamond" w:hAnsi="Garamond"/>
          <w:sz w:val="22"/>
        </w:rPr>
        <w:t xml:space="preserve"> area</w:t>
      </w:r>
      <w:r>
        <w:rPr>
          <w:rFonts w:ascii="Garamond" w:hAnsi="Garamond"/>
          <w:sz w:val="22"/>
        </w:rPr>
        <w:t>?</w:t>
      </w:r>
      <w:r w:rsidRPr="006774D2">
        <w:rPr>
          <w:rFonts w:ascii="Garamond" w:hAnsi="Garamond"/>
          <w:sz w:val="22"/>
        </w:rPr>
        <w:t xml:space="preserve">  Where there are gaps in the chronology of the applicant</w:t>
      </w:r>
      <w:r w:rsidR="00FE61E0">
        <w:rPr>
          <w:rFonts w:ascii="Garamond" w:hAnsi="Garamond"/>
          <w:sz w:val="22"/>
        </w:rPr>
        <w:t>’</w:t>
      </w:r>
      <w:r w:rsidRPr="006774D2">
        <w:rPr>
          <w:rFonts w:ascii="Garamond" w:hAnsi="Garamond"/>
          <w:sz w:val="22"/>
        </w:rPr>
        <w:t>s scholarly/creative</w:t>
      </w:r>
      <w:r w:rsidR="00C20FE3">
        <w:rPr>
          <w:rFonts w:ascii="Garamond" w:hAnsi="Garamond"/>
          <w:sz w:val="22"/>
        </w:rPr>
        <w:t>/professional</w:t>
      </w:r>
      <w:r w:rsidRPr="006774D2">
        <w:rPr>
          <w:rFonts w:ascii="Garamond" w:hAnsi="Garamond"/>
          <w:sz w:val="22"/>
        </w:rPr>
        <w:t xml:space="preserve"> record, the applicant may include a brief description of specific contextual factors (e.g.</w:t>
      </w:r>
      <w:r>
        <w:rPr>
          <w:rFonts w:ascii="Garamond" w:hAnsi="Garamond"/>
          <w:sz w:val="22"/>
        </w:rPr>
        <w:t>,</w:t>
      </w:r>
      <w:r w:rsidR="00C20FE3">
        <w:rPr>
          <w:rFonts w:ascii="Garamond" w:hAnsi="Garamond"/>
          <w:sz w:val="22"/>
        </w:rPr>
        <w:t xml:space="preserve"> administrative roles, </w:t>
      </w:r>
      <w:r w:rsidRPr="006774D2">
        <w:rPr>
          <w:rFonts w:ascii="Garamond" w:hAnsi="Garamond"/>
          <w:sz w:val="22"/>
        </w:rPr>
        <w:t>non-academic employment) that account for those gaps.</w:t>
      </w:r>
    </w:p>
    <w:p w:rsidR="00942F77" w:rsidRPr="006774D2" w:rsidRDefault="00942F77" w:rsidP="00942F77">
      <w:pPr>
        <w:jc w:val="both"/>
        <w:rPr>
          <w:rFonts w:ascii="Garamond" w:hAnsi="Garamond"/>
          <w:sz w:val="22"/>
        </w:rPr>
      </w:pPr>
    </w:p>
    <w:p w:rsidR="00942F77" w:rsidRDefault="00942F77" w:rsidP="00942F77">
      <w:pPr>
        <w:tabs>
          <w:tab w:val="left" w:pos="720"/>
        </w:tabs>
        <w:ind w:left="720" w:hanging="360"/>
        <w:jc w:val="both"/>
        <w:rPr>
          <w:rFonts w:ascii="Garamond" w:hAnsi="Garamond"/>
          <w:sz w:val="22"/>
        </w:rPr>
      </w:pPr>
      <w:r>
        <w:rPr>
          <w:rFonts w:ascii="Garamond" w:hAnsi="Garamond"/>
          <w:b/>
          <w:sz w:val="22"/>
        </w:rPr>
        <w:t>3.</w:t>
      </w:r>
      <w:r w:rsidRPr="00060B4B">
        <w:rPr>
          <w:rFonts w:ascii="Garamond" w:hAnsi="Garamond"/>
          <w:b/>
          <w:sz w:val="22"/>
        </w:rPr>
        <w:t xml:space="preserve"> </w:t>
      </w:r>
      <w:r>
        <w:rPr>
          <w:rFonts w:ascii="Garamond" w:hAnsi="Garamond"/>
          <w:b/>
          <w:sz w:val="22"/>
        </w:rPr>
        <w:tab/>
      </w:r>
      <w:r w:rsidRPr="00060B4B">
        <w:rPr>
          <w:rFonts w:ascii="Garamond" w:hAnsi="Garamond"/>
          <w:b/>
          <w:sz w:val="22"/>
        </w:rPr>
        <w:t>Curric</w:t>
      </w:r>
      <w:r>
        <w:rPr>
          <w:rFonts w:ascii="Garamond" w:hAnsi="Garamond"/>
          <w:b/>
          <w:sz w:val="22"/>
        </w:rPr>
        <w:t>u</w:t>
      </w:r>
      <w:r w:rsidRPr="00060B4B">
        <w:rPr>
          <w:rFonts w:ascii="Garamond" w:hAnsi="Garamond"/>
          <w:b/>
          <w:sz w:val="22"/>
        </w:rPr>
        <w:t>lum Vita</w:t>
      </w:r>
      <w:r w:rsidRPr="00060B4B">
        <w:rPr>
          <w:rFonts w:ascii="Garamond" w:hAnsi="Garamond"/>
          <w:sz w:val="22"/>
        </w:rPr>
        <w:t xml:space="preserve"> </w:t>
      </w:r>
    </w:p>
    <w:p w:rsidR="00942F77" w:rsidRDefault="00942F77" w:rsidP="00942F77">
      <w:pPr>
        <w:tabs>
          <w:tab w:val="left" w:pos="720"/>
        </w:tabs>
        <w:ind w:left="720" w:hanging="360"/>
        <w:jc w:val="both"/>
        <w:rPr>
          <w:rFonts w:ascii="Garamond" w:hAnsi="Garamond"/>
          <w:b/>
          <w:sz w:val="22"/>
        </w:rPr>
      </w:pPr>
      <w:r>
        <w:rPr>
          <w:rFonts w:ascii="Garamond" w:hAnsi="Garamond"/>
          <w:sz w:val="22"/>
        </w:rPr>
        <w:tab/>
      </w:r>
      <w:r w:rsidRPr="00060B4B">
        <w:rPr>
          <w:rFonts w:ascii="Garamond" w:hAnsi="Garamond"/>
          <w:sz w:val="22"/>
        </w:rPr>
        <w:t>Provide a professional CV highlighting information from the applicant</w:t>
      </w:r>
      <w:r w:rsidR="00FE61E0">
        <w:rPr>
          <w:rFonts w:ascii="Garamond" w:hAnsi="Garamond"/>
          <w:sz w:val="22"/>
        </w:rPr>
        <w:t>’</w:t>
      </w:r>
      <w:r w:rsidRPr="00060B4B">
        <w:rPr>
          <w:rFonts w:ascii="Garamond" w:hAnsi="Garamond"/>
          <w:sz w:val="22"/>
        </w:rPr>
        <w:t>s scholarly and creati</w:t>
      </w:r>
      <w:r>
        <w:rPr>
          <w:rFonts w:ascii="Garamond" w:hAnsi="Garamond"/>
          <w:sz w:val="22"/>
        </w:rPr>
        <w:t>ve work.  Please do not include</w:t>
      </w:r>
      <w:r w:rsidRPr="00060B4B">
        <w:rPr>
          <w:rFonts w:ascii="Garamond" w:hAnsi="Garamond"/>
          <w:sz w:val="22"/>
        </w:rPr>
        <w:t xml:space="preserve"> copies of publications or examples of creative work.</w:t>
      </w:r>
    </w:p>
    <w:p w:rsidR="00942F77" w:rsidRDefault="00942F77" w:rsidP="00942F77">
      <w:pPr>
        <w:tabs>
          <w:tab w:val="left" w:pos="720"/>
        </w:tabs>
        <w:ind w:left="720" w:hanging="360"/>
        <w:jc w:val="both"/>
        <w:rPr>
          <w:rFonts w:ascii="Garamond" w:hAnsi="Garamond"/>
          <w:b/>
          <w:sz w:val="22"/>
        </w:rPr>
      </w:pPr>
    </w:p>
    <w:p w:rsidR="00942F77" w:rsidRDefault="00942F77" w:rsidP="00942F77">
      <w:pPr>
        <w:tabs>
          <w:tab w:val="left" w:pos="720"/>
        </w:tabs>
        <w:ind w:left="720" w:hanging="360"/>
        <w:jc w:val="both"/>
        <w:rPr>
          <w:rFonts w:ascii="Garamond" w:hAnsi="Garamond"/>
          <w:b/>
          <w:sz w:val="22"/>
        </w:rPr>
      </w:pPr>
      <w:r>
        <w:rPr>
          <w:rFonts w:ascii="Garamond" w:hAnsi="Garamond"/>
          <w:b/>
          <w:sz w:val="22"/>
        </w:rPr>
        <w:t>4.</w:t>
      </w:r>
      <w:r>
        <w:rPr>
          <w:rFonts w:ascii="Garamond" w:hAnsi="Garamond"/>
          <w:b/>
          <w:sz w:val="22"/>
        </w:rPr>
        <w:tab/>
        <w:t>Past SOSA Award Reports</w:t>
      </w:r>
      <w:r w:rsidRPr="00FE5EDD">
        <w:rPr>
          <w:rFonts w:ascii="Garamond" w:hAnsi="Garamond"/>
          <w:b/>
          <w:sz w:val="22"/>
        </w:rPr>
        <w:t xml:space="preserve">  </w:t>
      </w:r>
    </w:p>
    <w:p w:rsidR="00942F77" w:rsidRPr="00FE5EDD" w:rsidRDefault="00942F77" w:rsidP="00942F77">
      <w:pPr>
        <w:tabs>
          <w:tab w:val="left" w:pos="720"/>
        </w:tabs>
        <w:ind w:left="720" w:hanging="360"/>
        <w:jc w:val="both"/>
        <w:rPr>
          <w:rFonts w:ascii="Garamond" w:hAnsi="Garamond"/>
          <w:b/>
          <w:sz w:val="22"/>
        </w:rPr>
      </w:pPr>
      <w:r>
        <w:rPr>
          <w:rFonts w:ascii="Garamond" w:hAnsi="Garamond"/>
          <w:sz w:val="22"/>
        </w:rPr>
        <w:tab/>
      </w:r>
      <w:r w:rsidRPr="00FE5EDD">
        <w:rPr>
          <w:rFonts w:ascii="Garamond" w:hAnsi="Garamond"/>
          <w:sz w:val="22"/>
        </w:rPr>
        <w:t>If the applicant has previously received a SOSA award(s) within the past five years, please include copies of the applicant</w:t>
      </w:r>
      <w:r w:rsidR="00FE61E0">
        <w:rPr>
          <w:rFonts w:ascii="Garamond" w:hAnsi="Garamond"/>
          <w:sz w:val="22"/>
        </w:rPr>
        <w:t>’</w:t>
      </w:r>
      <w:r w:rsidRPr="00FE5EDD">
        <w:rPr>
          <w:rFonts w:ascii="Garamond" w:hAnsi="Garamond"/>
          <w:sz w:val="22"/>
        </w:rPr>
        <w:t>s final reports from all awards received during this five-year period of time.</w:t>
      </w:r>
      <w:r w:rsidRPr="00FE5EDD">
        <w:rPr>
          <w:rFonts w:ascii="Garamond" w:hAnsi="Garamond"/>
          <w:b/>
          <w:sz w:val="22"/>
        </w:rPr>
        <w:t xml:space="preserve">  </w:t>
      </w:r>
      <w:r w:rsidRPr="00FE5EDD">
        <w:rPr>
          <w:rFonts w:ascii="Garamond" w:hAnsi="Garamond"/>
          <w:sz w:val="22"/>
        </w:rPr>
        <w:t>Applications that lack past report</w:t>
      </w:r>
      <w:r>
        <w:rPr>
          <w:rFonts w:ascii="Garamond" w:hAnsi="Garamond"/>
          <w:sz w:val="22"/>
        </w:rPr>
        <w:t>s</w:t>
      </w:r>
      <w:r w:rsidRPr="00FE5EDD">
        <w:rPr>
          <w:rFonts w:ascii="Garamond" w:hAnsi="Garamond"/>
          <w:sz w:val="22"/>
        </w:rPr>
        <w:t xml:space="preserve"> when these are required will be considered incomplete and will be disqualified.  Alternate Assignment Follow-up Report format instructions are available at:</w:t>
      </w:r>
    </w:p>
    <w:p w:rsidR="00942F77" w:rsidRPr="007D424E" w:rsidRDefault="00194244" w:rsidP="00942F77">
      <w:pPr>
        <w:ind w:left="720"/>
        <w:jc w:val="both"/>
        <w:rPr>
          <w:rFonts w:ascii="Garamond" w:hAnsi="Garamond"/>
          <w:sz w:val="22"/>
        </w:rPr>
      </w:pPr>
      <w:hyperlink r:id="rId14" w:history="1">
        <w:r w:rsidR="00942F77" w:rsidRPr="007D424E">
          <w:rPr>
            <w:rStyle w:val="Hyperlink"/>
            <w:rFonts w:ascii="Garamond" w:hAnsi="Garamond"/>
            <w:sz w:val="22"/>
          </w:rPr>
          <w:t>http://www.tcnj.edu/~academic/research/index.html</w:t>
        </w:r>
      </w:hyperlink>
      <w:r w:rsidR="00942F77">
        <w:rPr>
          <w:rFonts w:ascii="Garamond" w:hAnsi="Garamond"/>
          <w:sz w:val="22"/>
        </w:rPr>
        <w:t>.</w:t>
      </w:r>
    </w:p>
    <w:p w:rsidR="00942F77" w:rsidRPr="00346602" w:rsidRDefault="00942F77" w:rsidP="00942F77">
      <w:pPr>
        <w:tabs>
          <w:tab w:val="num" w:pos="1530"/>
        </w:tabs>
        <w:jc w:val="both"/>
        <w:rPr>
          <w:rFonts w:ascii="Garamond" w:hAnsi="Garamond"/>
        </w:rPr>
      </w:pPr>
    </w:p>
    <w:p w:rsidR="003A4A42" w:rsidRDefault="003A4A42" w:rsidP="003A4A42">
      <w:pPr>
        <w:tabs>
          <w:tab w:val="left" w:pos="360"/>
        </w:tabs>
        <w:jc w:val="both"/>
        <w:rPr>
          <w:rFonts w:ascii="Garamond" w:hAnsi="Garamond"/>
          <w:b/>
          <w:sz w:val="22"/>
        </w:rPr>
      </w:pPr>
      <w:r>
        <w:rPr>
          <w:rFonts w:ascii="Garamond" w:hAnsi="Garamond"/>
          <w:b/>
          <w:smallCaps/>
        </w:rPr>
        <w:t>Proposal Evaluation</w:t>
      </w:r>
    </w:p>
    <w:p w:rsidR="003A4A42" w:rsidRPr="002D3826" w:rsidRDefault="00194244" w:rsidP="003A4A42">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42545</wp:posOffset>
                </wp:positionV>
                <wp:extent cx="5943600" cy="0"/>
                <wp:effectExtent l="9525" t="13970" r="9525" b="508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wjFQ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" strokecolor="#339"/>
            </w:pict>
          </mc:Fallback>
        </mc:AlternateContent>
      </w:r>
    </w:p>
    <w:p w:rsidR="00706B09" w:rsidRDefault="00706B09" w:rsidP="00194244">
      <w:pPr>
        <w:tabs>
          <w:tab w:val="left" w:pos="720"/>
        </w:tabs>
        <w:spacing w:beforeLines="1" w:before="2" w:afterLines="1" w:after="2"/>
        <w:ind w:firstLine="360"/>
        <w:jc w:val="both"/>
        <w:rPr>
          <w:rFonts w:ascii="Garamond" w:hAnsi="Garamond"/>
          <w:b/>
          <w:sz w:val="22"/>
        </w:rPr>
      </w:pPr>
      <w:r w:rsidRPr="00FE5EDD">
        <w:rPr>
          <w:rFonts w:ascii="Garamond" w:hAnsi="Garamond"/>
          <w:b/>
          <w:sz w:val="22"/>
        </w:rPr>
        <w:t xml:space="preserve">1. </w:t>
      </w:r>
      <w:r>
        <w:rPr>
          <w:rFonts w:ascii="Garamond" w:hAnsi="Garamond"/>
          <w:b/>
          <w:sz w:val="22"/>
        </w:rPr>
        <w:tab/>
      </w:r>
      <w:r w:rsidRPr="00FE5EDD">
        <w:rPr>
          <w:rFonts w:ascii="Garamond" w:hAnsi="Garamond"/>
          <w:b/>
          <w:sz w:val="22"/>
        </w:rPr>
        <w:t>Review Process</w:t>
      </w:r>
    </w:p>
    <w:p w:rsidR="00E44A48" w:rsidRDefault="00706B09" w:rsidP="00194244">
      <w:pPr>
        <w:tabs>
          <w:tab w:val="left" w:pos="720"/>
        </w:tabs>
        <w:spacing w:beforeLines="1" w:before="2" w:afterLines="1" w:after="2"/>
        <w:ind w:left="720"/>
        <w:jc w:val="both"/>
        <w:rPr>
          <w:rFonts w:ascii="Garamond" w:hAnsi="Garamond"/>
          <w:sz w:val="22"/>
          <w:szCs w:val="20"/>
        </w:rPr>
      </w:pPr>
      <w:r w:rsidRPr="00FE5EDD">
        <w:rPr>
          <w:rFonts w:ascii="Garamond" w:hAnsi="Garamond"/>
          <w:sz w:val="22"/>
        </w:rPr>
        <w:t>Submitted proposals will be reviewed and evaluated by an interdisc</w:t>
      </w:r>
      <w:r>
        <w:rPr>
          <w:rFonts w:ascii="Garamond" w:hAnsi="Garamond"/>
          <w:sz w:val="22"/>
        </w:rPr>
        <w:t>iplinary SOSA Committee.  After a norming process to standardize approaches to scoring, c</w:t>
      </w:r>
      <w:r w:rsidRPr="00FE5EDD">
        <w:rPr>
          <w:rFonts w:ascii="Garamond" w:hAnsi="Garamond"/>
          <w:sz w:val="22"/>
        </w:rPr>
        <w:t xml:space="preserve">ommittee members will </w:t>
      </w:r>
      <w:r>
        <w:rPr>
          <w:rFonts w:ascii="Garamond" w:hAnsi="Garamond"/>
          <w:sz w:val="22"/>
        </w:rPr>
        <w:t xml:space="preserve">split into two </w:t>
      </w:r>
      <w:r w:rsidR="00914165">
        <w:rPr>
          <w:rFonts w:ascii="Garamond" w:hAnsi="Garamond"/>
          <w:sz w:val="22"/>
        </w:rPr>
        <w:t>panel</w:t>
      </w:r>
      <w:r>
        <w:rPr>
          <w:rFonts w:ascii="Garamond" w:hAnsi="Garamond"/>
          <w:sz w:val="22"/>
        </w:rPr>
        <w:t xml:space="preserve">s to </w:t>
      </w:r>
      <w:r w:rsidRPr="00FE5EDD">
        <w:rPr>
          <w:rFonts w:ascii="Garamond" w:hAnsi="Garamond"/>
          <w:sz w:val="22"/>
        </w:rPr>
        <w:t>evaluate proposals using the review criteria listed below.</w:t>
      </w:r>
      <w:r w:rsidRPr="00FE5EDD">
        <w:rPr>
          <w:rFonts w:ascii="Garamond" w:hAnsi="Garamond"/>
          <w:sz w:val="22"/>
          <w:szCs w:val="20"/>
        </w:rPr>
        <w:t xml:space="preserve">  </w:t>
      </w:r>
      <w:r w:rsidRPr="00FE5EDD">
        <w:rPr>
          <w:rFonts w:ascii="Garamond" w:hAnsi="Garamond"/>
          <w:sz w:val="22"/>
        </w:rPr>
        <w:t xml:space="preserve">The </w:t>
      </w:r>
      <w:r>
        <w:rPr>
          <w:rFonts w:ascii="Garamond" w:hAnsi="Garamond"/>
          <w:sz w:val="22"/>
        </w:rPr>
        <w:t xml:space="preserve">full </w:t>
      </w:r>
      <w:r w:rsidRPr="00FE5EDD">
        <w:rPr>
          <w:rFonts w:ascii="Garamond" w:hAnsi="Garamond"/>
          <w:sz w:val="22"/>
        </w:rPr>
        <w:t xml:space="preserve">Committee </w:t>
      </w:r>
      <w:r>
        <w:rPr>
          <w:rFonts w:ascii="Garamond" w:hAnsi="Garamond"/>
          <w:sz w:val="22"/>
        </w:rPr>
        <w:t>will consist of</w:t>
      </w:r>
      <w:r w:rsidRPr="007E47B9">
        <w:rPr>
          <w:rFonts w:ascii="Garamond" w:hAnsi="Garamond"/>
          <w:sz w:val="22"/>
        </w:rPr>
        <w:t xml:space="preserve"> </w:t>
      </w:r>
      <w:r>
        <w:rPr>
          <w:rFonts w:ascii="Garamond" w:hAnsi="Garamond"/>
          <w:sz w:val="22"/>
          <w:szCs w:val="20"/>
        </w:rPr>
        <w:t>11 members, with representatives from the following units:</w:t>
      </w:r>
    </w:p>
    <w:p w:rsidR="00706B09" w:rsidRDefault="00706B09" w:rsidP="00194244">
      <w:pPr>
        <w:tabs>
          <w:tab w:val="left" w:pos="720"/>
        </w:tabs>
        <w:spacing w:beforeLines="1" w:before="2" w:afterLines="1" w:after="2"/>
        <w:ind w:left="720"/>
        <w:jc w:val="both"/>
        <w:rPr>
          <w:rFonts w:ascii="Garamond" w:hAnsi="Garamond"/>
          <w:sz w:val="22"/>
          <w:szCs w:val="20"/>
        </w:rPr>
      </w:pPr>
    </w:p>
    <w:p w:rsidR="00706B09" w:rsidRDefault="00706B09"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 xml:space="preserve">One person from each of the following schools: </w:t>
      </w:r>
      <w:r w:rsidRPr="007E47B9">
        <w:rPr>
          <w:rFonts w:ascii="Garamond" w:hAnsi="Garamond"/>
          <w:sz w:val="22"/>
          <w:szCs w:val="20"/>
        </w:rPr>
        <w:t>Arts and Communication, Business, Education, Engineering, Nursing and HES</w:t>
      </w:r>
      <w:r>
        <w:rPr>
          <w:rFonts w:ascii="Garamond" w:hAnsi="Garamond"/>
          <w:sz w:val="22"/>
          <w:szCs w:val="20"/>
        </w:rPr>
        <w:t xml:space="preserve"> (total of 5)</w:t>
      </w:r>
    </w:p>
    <w:p w:rsidR="00706B09" w:rsidRDefault="00706B09"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Humanities and Social Sciences (one from Humanities, one from Social Sciences)</w:t>
      </w:r>
    </w:p>
    <w:p w:rsidR="00706B09" w:rsidRDefault="00706B09"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Two people from the School of Science (one from Math/Computer Science, one from Biology/Chemistry/Physics)</w:t>
      </w:r>
    </w:p>
    <w:p w:rsidR="00706B09" w:rsidRDefault="00706B09"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person from the Library</w:t>
      </w:r>
    </w:p>
    <w:p w:rsidR="00706B09" w:rsidRDefault="00706B09" w:rsidP="00194244">
      <w:pPr>
        <w:pStyle w:val="ListParagraph"/>
        <w:numPr>
          <w:ilvl w:val="0"/>
          <w:numId w:val="6"/>
        </w:numPr>
        <w:tabs>
          <w:tab w:val="left" w:pos="720"/>
        </w:tabs>
        <w:spacing w:beforeLines="1" w:before="2" w:afterLines="1" w:after="2"/>
        <w:jc w:val="both"/>
        <w:rPr>
          <w:rFonts w:ascii="Garamond" w:hAnsi="Garamond"/>
          <w:sz w:val="22"/>
          <w:szCs w:val="20"/>
        </w:rPr>
      </w:pPr>
      <w:r>
        <w:rPr>
          <w:rFonts w:ascii="Garamond" w:hAnsi="Garamond"/>
          <w:sz w:val="22"/>
          <w:szCs w:val="20"/>
        </w:rPr>
        <w:t>One designee from the Provost (ex officio, non-voting)</w:t>
      </w:r>
    </w:p>
    <w:p w:rsidR="00706B09" w:rsidRDefault="00706B09" w:rsidP="00194244">
      <w:pPr>
        <w:tabs>
          <w:tab w:val="left" w:pos="720"/>
        </w:tabs>
        <w:spacing w:beforeLines="1" w:before="2" w:afterLines="1" w:after="2"/>
        <w:jc w:val="both"/>
        <w:rPr>
          <w:rFonts w:ascii="Garamond" w:hAnsi="Garamond"/>
          <w:sz w:val="22"/>
          <w:szCs w:val="20"/>
        </w:rPr>
      </w:pPr>
      <w:r>
        <w:rPr>
          <w:rFonts w:ascii="Garamond" w:hAnsi="Garamond"/>
          <w:sz w:val="22"/>
          <w:szCs w:val="20"/>
        </w:rPr>
        <w:tab/>
      </w:r>
    </w:p>
    <w:p w:rsidR="00706B09" w:rsidRDefault="00706B09" w:rsidP="0019424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Each </w:t>
      </w:r>
      <w:r w:rsidR="00914165">
        <w:rPr>
          <w:rFonts w:ascii="Garamond" w:hAnsi="Garamond"/>
          <w:sz w:val="22"/>
          <w:szCs w:val="20"/>
        </w:rPr>
        <w:t>panel</w:t>
      </w:r>
      <w:r>
        <w:rPr>
          <w:rFonts w:ascii="Garamond" w:hAnsi="Garamond"/>
          <w:sz w:val="22"/>
          <w:szCs w:val="20"/>
        </w:rPr>
        <w:t xml:space="preserve"> will consist of 6 people, with the Provost’s Designee sitting on both. The composition of each </w:t>
      </w:r>
      <w:r w:rsidR="00914165">
        <w:rPr>
          <w:rFonts w:ascii="Garamond" w:hAnsi="Garamond"/>
          <w:sz w:val="22"/>
          <w:szCs w:val="20"/>
        </w:rPr>
        <w:t>panel</w:t>
      </w:r>
      <w:r>
        <w:rPr>
          <w:rFonts w:ascii="Garamond" w:hAnsi="Garamond"/>
          <w:sz w:val="22"/>
          <w:szCs w:val="20"/>
        </w:rPr>
        <w:t xml:space="preserve"> will be determined by the full SOSA Committee itself as it organizes for work each year.  Each </w:t>
      </w:r>
      <w:r w:rsidR="00914165">
        <w:rPr>
          <w:rFonts w:ascii="Garamond" w:hAnsi="Garamond"/>
          <w:sz w:val="22"/>
          <w:szCs w:val="20"/>
        </w:rPr>
        <w:t>panel</w:t>
      </w:r>
      <w:r>
        <w:rPr>
          <w:rFonts w:ascii="Garamond" w:hAnsi="Garamond"/>
          <w:sz w:val="22"/>
          <w:szCs w:val="20"/>
        </w:rPr>
        <w:t xml:space="preserve"> will elect its own chair, who does not necessarily have to be the same person as the chair of the full SOSA Committee. </w:t>
      </w:r>
    </w:p>
    <w:p w:rsidR="00706B09" w:rsidRDefault="00706B09" w:rsidP="00194244">
      <w:pPr>
        <w:tabs>
          <w:tab w:val="left" w:pos="720"/>
        </w:tabs>
        <w:spacing w:beforeLines="1" w:before="2" w:afterLines="1" w:after="2"/>
        <w:ind w:left="720"/>
        <w:jc w:val="both"/>
        <w:rPr>
          <w:rFonts w:ascii="Garamond" w:hAnsi="Garamond"/>
          <w:sz w:val="22"/>
          <w:szCs w:val="20"/>
        </w:rPr>
      </w:pPr>
    </w:p>
    <w:p w:rsidR="00706B09" w:rsidRDefault="00706B09" w:rsidP="0019424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when proposals are discussed and reviewed by </w:t>
      </w:r>
      <w:r w:rsidR="00914165">
        <w:rPr>
          <w:rFonts w:ascii="Garamond" w:hAnsi="Garamond"/>
          <w:sz w:val="22"/>
          <w:szCs w:val="20"/>
        </w:rPr>
        <w:t>panel</w:t>
      </w:r>
      <w:r>
        <w:rPr>
          <w:rFonts w:ascii="Garamond" w:hAnsi="Garamond"/>
          <w:sz w:val="22"/>
          <w:szCs w:val="20"/>
        </w:rPr>
        <w:t>s and the full SOSA Committee, individual committee members must not introduce any outside evidence or other information that is not included in the submitted proposals.  Moreover, individual committee members must not advocate for any of the submitted proposals.  These are particularly important for proposals from the same discipline or general area of the SOSA Committee members.</w:t>
      </w:r>
    </w:p>
    <w:p w:rsidR="00706B09" w:rsidRDefault="00706B09" w:rsidP="00194244">
      <w:pPr>
        <w:tabs>
          <w:tab w:val="left" w:pos="720"/>
        </w:tabs>
        <w:spacing w:beforeLines="1" w:before="2" w:afterLines="1" w:after="2"/>
        <w:ind w:left="720"/>
        <w:jc w:val="both"/>
        <w:rPr>
          <w:rFonts w:ascii="Garamond" w:hAnsi="Garamond"/>
          <w:sz w:val="22"/>
          <w:szCs w:val="20"/>
        </w:rPr>
      </w:pPr>
    </w:p>
    <w:p w:rsidR="00706B09" w:rsidRDefault="00706B09" w:rsidP="00194244">
      <w:pPr>
        <w:tabs>
          <w:tab w:val="left" w:pos="720"/>
        </w:tabs>
        <w:spacing w:beforeLines="1" w:before="2" w:afterLines="1" w:after="2"/>
        <w:ind w:left="720"/>
        <w:jc w:val="both"/>
        <w:rPr>
          <w:rFonts w:ascii="Garamond" w:hAnsi="Garamond"/>
          <w:sz w:val="22"/>
          <w:szCs w:val="20"/>
        </w:rPr>
      </w:pPr>
      <w:r>
        <w:rPr>
          <w:rFonts w:ascii="Garamond" w:hAnsi="Garamond"/>
          <w:sz w:val="22"/>
          <w:szCs w:val="20"/>
        </w:rPr>
        <w:t xml:space="preserve">In order to avoid bias for proposals submitted by SOSA Committee members, these proposals will be directed to and reviewed by the </w:t>
      </w:r>
      <w:r w:rsidR="00914165">
        <w:rPr>
          <w:rFonts w:ascii="Garamond" w:hAnsi="Garamond"/>
          <w:sz w:val="22"/>
          <w:szCs w:val="20"/>
        </w:rPr>
        <w:t>panel</w:t>
      </w:r>
      <w:r>
        <w:rPr>
          <w:rFonts w:ascii="Garamond" w:hAnsi="Garamond"/>
          <w:sz w:val="22"/>
          <w:szCs w:val="20"/>
        </w:rPr>
        <w:t xml:space="preserve"> on which the Committee member does not serve, so that no one reviews his/her own proposal. </w:t>
      </w:r>
    </w:p>
    <w:p w:rsidR="00706B09" w:rsidRDefault="00706B09" w:rsidP="00194244">
      <w:pPr>
        <w:tabs>
          <w:tab w:val="left" w:pos="720"/>
        </w:tabs>
        <w:spacing w:beforeLines="1" w:before="2" w:afterLines="1" w:after="2"/>
        <w:ind w:left="720"/>
        <w:jc w:val="both"/>
        <w:rPr>
          <w:rFonts w:ascii="Garamond" w:hAnsi="Garamond"/>
          <w:sz w:val="22"/>
          <w:szCs w:val="20"/>
        </w:rPr>
      </w:pPr>
    </w:p>
    <w:p w:rsidR="00706B09" w:rsidRDefault="00706B09" w:rsidP="00194244">
      <w:pPr>
        <w:tabs>
          <w:tab w:val="left" w:pos="540"/>
        </w:tabs>
        <w:spacing w:beforeLines="1" w:before="2" w:afterLines="1" w:after="2"/>
        <w:ind w:left="360"/>
        <w:jc w:val="both"/>
        <w:rPr>
          <w:rFonts w:ascii="Garamond" w:hAnsi="Garamond"/>
          <w:b/>
          <w:sz w:val="22"/>
          <w:szCs w:val="20"/>
        </w:rPr>
      </w:pPr>
      <w:r>
        <w:rPr>
          <w:rFonts w:ascii="Garamond" w:hAnsi="Garamond"/>
          <w:b/>
          <w:sz w:val="22"/>
          <w:szCs w:val="20"/>
        </w:rPr>
        <w:t>2.</w:t>
      </w:r>
      <w:r>
        <w:rPr>
          <w:rFonts w:ascii="Garamond" w:hAnsi="Garamond"/>
          <w:b/>
          <w:sz w:val="22"/>
          <w:szCs w:val="20"/>
        </w:rPr>
        <w:tab/>
      </w:r>
      <w:r>
        <w:rPr>
          <w:rFonts w:ascii="Garamond" w:hAnsi="Garamond"/>
          <w:b/>
          <w:sz w:val="22"/>
          <w:szCs w:val="20"/>
        </w:rPr>
        <w:tab/>
        <w:t>Review P</w:t>
      </w:r>
      <w:r w:rsidRPr="005E47DE">
        <w:rPr>
          <w:rFonts w:ascii="Garamond" w:hAnsi="Garamond"/>
          <w:b/>
          <w:sz w:val="22"/>
          <w:szCs w:val="20"/>
        </w:rPr>
        <w:t>rocedures</w:t>
      </w:r>
    </w:p>
    <w:p w:rsidR="00706B09" w:rsidRDefault="00706B09" w:rsidP="00194244">
      <w:pPr>
        <w:tabs>
          <w:tab w:val="left" w:pos="720"/>
        </w:tabs>
        <w:spacing w:beforeLines="1" w:before="2" w:afterLines="1" w:after="2"/>
        <w:ind w:left="360"/>
        <w:jc w:val="both"/>
        <w:rPr>
          <w:rFonts w:ascii="Garamond" w:hAnsi="Garamond"/>
          <w:sz w:val="22"/>
          <w:szCs w:val="20"/>
        </w:rPr>
      </w:pPr>
      <w:r>
        <w:rPr>
          <w:rFonts w:ascii="Garamond" w:hAnsi="Garamond"/>
          <w:b/>
          <w:sz w:val="22"/>
          <w:szCs w:val="20"/>
        </w:rPr>
        <w:tab/>
      </w:r>
      <w:r>
        <w:rPr>
          <w:rFonts w:ascii="Garamond" w:hAnsi="Garamond"/>
          <w:sz w:val="22"/>
          <w:szCs w:val="20"/>
        </w:rPr>
        <w:t xml:space="preserve">The SOSA Committee will follow the major steps listed below in it’s review of proposals. </w:t>
      </w:r>
    </w:p>
    <w:p w:rsidR="00706B09" w:rsidRPr="005E47DE" w:rsidRDefault="00706B09" w:rsidP="00194244">
      <w:pPr>
        <w:tabs>
          <w:tab w:val="left" w:pos="720"/>
        </w:tabs>
        <w:spacing w:beforeLines="1" w:before="2" w:afterLines="1" w:after="2"/>
        <w:ind w:left="360"/>
        <w:jc w:val="both"/>
        <w:rPr>
          <w:rFonts w:ascii="Garamond" w:hAnsi="Garamond"/>
          <w:sz w:val="22"/>
          <w:szCs w:val="20"/>
        </w:rPr>
      </w:pPr>
    </w:p>
    <w:p w:rsidR="00E44A48" w:rsidRDefault="00706B09" w:rsidP="0019424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The full</w:t>
      </w:r>
      <w:r w:rsidRPr="00830B8E">
        <w:rPr>
          <w:rFonts w:ascii="Garamond" w:hAnsi="Garamond"/>
          <w:sz w:val="22"/>
          <w:szCs w:val="20"/>
        </w:rPr>
        <w:t xml:space="preserve"> Committee will</w:t>
      </w:r>
      <w:r>
        <w:rPr>
          <w:rFonts w:ascii="Garamond" w:hAnsi="Garamond"/>
          <w:sz w:val="22"/>
          <w:szCs w:val="20"/>
        </w:rPr>
        <w:t xml:space="preserve"> initially engage in a proposal norming step.  The full Committee will</w:t>
      </w:r>
      <w:r w:rsidRPr="00830B8E">
        <w:rPr>
          <w:rFonts w:ascii="Garamond" w:hAnsi="Garamond"/>
          <w:sz w:val="22"/>
          <w:szCs w:val="20"/>
        </w:rPr>
        <w:t xml:space="preserve"> </w:t>
      </w:r>
      <w:r>
        <w:rPr>
          <w:rFonts w:ascii="Garamond" w:hAnsi="Garamond"/>
          <w:sz w:val="22"/>
          <w:szCs w:val="20"/>
        </w:rPr>
        <w:t xml:space="preserve">first </w:t>
      </w:r>
      <w:r w:rsidRPr="00830B8E">
        <w:rPr>
          <w:rFonts w:ascii="Garamond" w:hAnsi="Garamond"/>
          <w:sz w:val="22"/>
          <w:szCs w:val="20"/>
        </w:rPr>
        <w:t xml:space="preserve">discuss how to </w:t>
      </w:r>
      <w:r>
        <w:rPr>
          <w:rFonts w:ascii="Garamond" w:hAnsi="Garamond"/>
          <w:sz w:val="22"/>
          <w:szCs w:val="20"/>
        </w:rPr>
        <w:t xml:space="preserve">use and </w:t>
      </w:r>
      <w:r w:rsidRPr="00830B8E">
        <w:rPr>
          <w:rFonts w:ascii="Garamond" w:hAnsi="Garamond"/>
          <w:sz w:val="22"/>
          <w:szCs w:val="20"/>
        </w:rPr>
        <w:t xml:space="preserve">apply the </w:t>
      </w:r>
      <w:r>
        <w:rPr>
          <w:rFonts w:ascii="Garamond" w:hAnsi="Garamond"/>
          <w:sz w:val="22"/>
          <w:szCs w:val="20"/>
        </w:rPr>
        <w:t>evaluation rubric.  The full Committee will</w:t>
      </w:r>
      <w:r w:rsidRPr="00830B8E">
        <w:rPr>
          <w:rFonts w:ascii="Garamond" w:hAnsi="Garamond"/>
          <w:sz w:val="22"/>
          <w:szCs w:val="20"/>
        </w:rPr>
        <w:t xml:space="preserve"> </w:t>
      </w:r>
      <w:r>
        <w:rPr>
          <w:rFonts w:ascii="Garamond" w:hAnsi="Garamond"/>
          <w:sz w:val="22"/>
          <w:szCs w:val="20"/>
        </w:rPr>
        <w:t xml:space="preserve">then </w:t>
      </w:r>
      <w:r w:rsidRPr="00830B8E">
        <w:rPr>
          <w:rFonts w:ascii="Garamond" w:hAnsi="Garamond"/>
          <w:sz w:val="22"/>
          <w:szCs w:val="20"/>
        </w:rPr>
        <w:t xml:space="preserve">review </w:t>
      </w:r>
      <w:r>
        <w:rPr>
          <w:rFonts w:ascii="Garamond" w:hAnsi="Garamond"/>
          <w:sz w:val="22"/>
          <w:szCs w:val="20"/>
        </w:rPr>
        <w:t>several example</w:t>
      </w:r>
      <w:r w:rsidRPr="00830B8E">
        <w:rPr>
          <w:rFonts w:ascii="Garamond" w:hAnsi="Garamond"/>
          <w:sz w:val="22"/>
          <w:szCs w:val="20"/>
        </w:rPr>
        <w:t xml:space="preserve"> proposal</w:t>
      </w:r>
      <w:r>
        <w:rPr>
          <w:rFonts w:ascii="Garamond" w:hAnsi="Garamond"/>
          <w:sz w:val="22"/>
          <w:szCs w:val="20"/>
        </w:rPr>
        <w:t>s, with each individual Committee member independently reviewing each example proposal using the evaluation rubric to assign scores.  The Chair will then compile the scores, and the full Committee will discuss the proposals, the range of scores, and the use of the rubric.  This norming step is designed</w:t>
      </w:r>
      <w:r w:rsidRPr="00830B8E">
        <w:rPr>
          <w:rFonts w:ascii="Garamond" w:hAnsi="Garamond"/>
          <w:sz w:val="22"/>
          <w:szCs w:val="20"/>
        </w:rPr>
        <w:t xml:space="preserve"> to </w:t>
      </w:r>
      <w:r>
        <w:rPr>
          <w:rFonts w:ascii="Garamond" w:hAnsi="Garamond"/>
          <w:sz w:val="22"/>
        </w:rPr>
        <w:t>standardize approaches to scoring</w:t>
      </w:r>
      <w:r>
        <w:rPr>
          <w:rFonts w:ascii="Garamond" w:hAnsi="Garamond"/>
          <w:sz w:val="22"/>
          <w:szCs w:val="20"/>
        </w:rPr>
        <w:t>, establish consistency in scoring between and among reviewers, and ensure a fair and transparent evaluation process.</w:t>
      </w:r>
    </w:p>
    <w:p w:rsidR="00706B09" w:rsidRPr="00E44A48" w:rsidRDefault="00706B09" w:rsidP="00194244">
      <w:pPr>
        <w:tabs>
          <w:tab w:val="left" w:pos="720"/>
        </w:tabs>
        <w:spacing w:beforeLines="1" w:before="2" w:afterLines="1" w:after="2"/>
        <w:ind w:left="720"/>
        <w:jc w:val="both"/>
        <w:rPr>
          <w:rFonts w:ascii="Garamond" w:hAnsi="Garamond"/>
          <w:sz w:val="22"/>
          <w:szCs w:val="20"/>
        </w:rPr>
      </w:pPr>
    </w:p>
    <w:p w:rsidR="003A4A42" w:rsidRPr="00E44A48" w:rsidRDefault="003A4A42" w:rsidP="0019424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 xml:space="preserve">The full Committee will divide into two panels, with each panel reviewing approximately half of the proposals.  Individual panel members will assign preliminary scores to each proposal using the evaluation rubric. </w:t>
      </w:r>
      <w:r w:rsidR="008A35B4">
        <w:rPr>
          <w:rFonts w:ascii="Garamond" w:hAnsi="Garamond"/>
          <w:sz w:val="22"/>
          <w:szCs w:val="20"/>
        </w:rPr>
        <w:t xml:space="preserve"> </w:t>
      </w:r>
      <w:r>
        <w:rPr>
          <w:rFonts w:ascii="Garamond" w:hAnsi="Garamond"/>
          <w:sz w:val="22"/>
          <w:szCs w:val="20"/>
        </w:rPr>
        <w:t>Each panel chair will compile a summary spreadsheet o</w:t>
      </w:r>
      <w:r w:rsidR="008A35B4">
        <w:rPr>
          <w:rFonts w:ascii="Garamond" w:hAnsi="Garamond"/>
          <w:sz w:val="22"/>
          <w:szCs w:val="20"/>
        </w:rPr>
        <w:t>f the preliminary scores, and</w:t>
      </w:r>
      <w:r>
        <w:rPr>
          <w:rFonts w:ascii="Garamond" w:hAnsi="Garamond"/>
          <w:sz w:val="22"/>
          <w:szCs w:val="20"/>
        </w:rPr>
        <w:t xml:space="preserve"> each panel will meet to review and discuss the proposals.</w:t>
      </w:r>
      <w:r w:rsidR="008A35B4">
        <w:rPr>
          <w:rFonts w:ascii="Garamond" w:hAnsi="Garamond"/>
          <w:sz w:val="22"/>
          <w:szCs w:val="20"/>
        </w:rPr>
        <w:t xml:space="preserve"> </w:t>
      </w:r>
      <w:r>
        <w:rPr>
          <w:rFonts w:ascii="Garamond" w:hAnsi="Garamond"/>
          <w:sz w:val="22"/>
          <w:szCs w:val="20"/>
        </w:rPr>
        <w:t xml:space="preserve"> Any panel member can nominate any proposal for discussion by the panel</w:t>
      </w:r>
      <w:r w:rsidR="00D35146">
        <w:rPr>
          <w:rFonts w:ascii="Garamond" w:hAnsi="Garamond"/>
          <w:sz w:val="22"/>
          <w:szCs w:val="20"/>
        </w:rPr>
        <w:t>.</w:t>
      </w:r>
      <w:r>
        <w:rPr>
          <w:rFonts w:ascii="Garamond" w:hAnsi="Garamond"/>
          <w:sz w:val="22"/>
          <w:szCs w:val="20"/>
        </w:rPr>
        <w:t xml:space="preserve"> </w:t>
      </w:r>
      <w:r w:rsidR="00D35146">
        <w:rPr>
          <w:rFonts w:ascii="Garamond" w:hAnsi="Garamond"/>
          <w:sz w:val="22"/>
          <w:szCs w:val="20"/>
        </w:rPr>
        <w:t xml:space="preserve"> </w:t>
      </w:r>
      <w:r>
        <w:rPr>
          <w:rFonts w:ascii="Garamond" w:hAnsi="Garamond"/>
          <w:sz w:val="22"/>
          <w:szCs w:val="20"/>
        </w:rPr>
        <w:t>As a result of the discussions, panel members may choose to revise their preliminary scores.</w:t>
      </w:r>
    </w:p>
    <w:p w:rsidR="00706B09" w:rsidRPr="00E44A48" w:rsidRDefault="00706B09" w:rsidP="00194244">
      <w:pPr>
        <w:tabs>
          <w:tab w:val="left" w:pos="720"/>
        </w:tabs>
        <w:spacing w:beforeLines="1" w:before="2" w:afterLines="1" w:after="2"/>
        <w:ind w:left="720"/>
        <w:jc w:val="both"/>
        <w:rPr>
          <w:rFonts w:ascii="Garamond" w:hAnsi="Garamond"/>
          <w:sz w:val="22"/>
          <w:szCs w:val="20"/>
        </w:rPr>
      </w:pPr>
    </w:p>
    <w:p w:rsidR="00E44A48" w:rsidRDefault="00706B09" w:rsidP="0019424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 xml:space="preserve">Each </w:t>
      </w:r>
      <w:r w:rsidR="00914165">
        <w:rPr>
          <w:rFonts w:ascii="Garamond" w:hAnsi="Garamond"/>
          <w:sz w:val="22"/>
          <w:szCs w:val="20"/>
        </w:rPr>
        <w:t>panel</w:t>
      </w:r>
      <w:r>
        <w:rPr>
          <w:rFonts w:ascii="Garamond" w:hAnsi="Garamond"/>
          <w:sz w:val="22"/>
          <w:szCs w:val="20"/>
        </w:rPr>
        <w:t xml:space="preserve"> will then submit their scores to the SOSA Chair, who will compile a summary spreadsheet and submit all preliminary scores to the full Committee.  The scores for the proposals that were submitted by SOSA committee members will be sent to the Provost’s Designee rather than to the SOSA Chair.</w:t>
      </w:r>
    </w:p>
    <w:p w:rsidR="00706B09" w:rsidRPr="00E44A48" w:rsidRDefault="00706B09" w:rsidP="00194244">
      <w:pPr>
        <w:tabs>
          <w:tab w:val="left" w:pos="720"/>
        </w:tabs>
        <w:spacing w:beforeLines="1" w:before="2" w:afterLines="1" w:after="2"/>
        <w:ind w:left="720"/>
        <w:jc w:val="both"/>
        <w:rPr>
          <w:rFonts w:ascii="Garamond" w:hAnsi="Garamond"/>
          <w:sz w:val="22"/>
          <w:szCs w:val="20"/>
        </w:rPr>
      </w:pPr>
    </w:p>
    <w:p w:rsidR="00E44A48" w:rsidRDefault="00706B09" w:rsidP="0019424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 xml:space="preserve">The full Committee will re-convene for a comprehensive review of all preliminary scores, and then it will develop final scores.  Development of final scores will likely require review and discussion of those proposals needing consideration by the full Committee.  Upon review of all of the preliminary scores, individual SOSA Committee members can nominate any proposal for review and discussion by the full Committee.  The full Committee does not have to review and discuss every proposal. </w:t>
      </w:r>
    </w:p>
    <w:p w:rsidR="00706B09" w:rsidRPr="00E44A48" w:rsidRDefault="00706B09" w:rsidP="00194244">
      <w:pPr>
        <w:tabs>
          <w:tab w:val="left" w:pos="720"/>
        </w:tabs>
        <w:spacing w:beforeLines="1" w:before="2" w:afterLines="1" w:after="2"/>
        <w:ind w:left="720" w:firstLine="60"/>
        <w:jc w:val="both"/>
        <w:rPr>
          <w:rFonts w:ascii="Garamond" w:hAnsi="Garamond"/>
          <w:sz w:val="22"/>
          <w:szCs w:val="20"/>
        </w:rPr>
      </w:pPr>
    </w:p>
    <w:p w:rsidR="00706B09" w:rsidRDefault="00706B09" w:rsidP="00194244">
      <w:pPr>
        <w:pStyle w:val="ListParagraph"/>
        <w:numPr>
          <w:ilvl w:val="0"/>
          <w:numId w:val="28"/>
        </w:numPr>
        <w:tabs>
          <w:tab w:val="left" w:pos="720"/>
        </w:tabs>
        <w:spacing w:beforeLines="1" w:before="2" w:afterLines="1" w:after="2"/>
        <w:jc w:val="both"/>
        <w:rPr>
          <w:rFonts w:ascii="Garamond" w:hAnsi="Garamond"/>
          <w:sz w:val="22"/>
          <w:szCs w:val="20"/>
        </w:rPr>
      </w:pPr>
      <w:r>
        <w:rPr>
          <w:rFonts w:ascii="Garamond" w:hAnsi="Garamond"/>
          <w:sz w:val="22"/>
          <w:szCs w:val="20"/>
        </w:rPr>
        <w:t>Upon completion of the full Committee’s determination of final scores, the SOSA Chair will provide the final scores to the Provost’s Designee.  The Provost’s Designee will integrate the scores from any individual SOSA Committee members who had submitted proposals.  The Provost’s Designee will then submit the complete summary of final scores to the Office of Academic Affairs.</w:t>
      </w:r>
    </w:p>
    <w:p w:rsidR="004851A7" w:rsidRDefault="004851A7" w:rsidP="00194244">
      <w:pPr>
        <w:tabs>
          <w:tab w:val="left" w:pos="720"/>
        </w:tabs>
        <w:spacing w:beforeLines="1" w:before="2" w:afterLines="1" w:after="2"/>
        <w:jc w:val="both"/>
        <w:rPr>
          <w:rFonts w:ascii="Garamond" w:hAnsi="Garamond"/>
          <w:sz w:val="22"/>
          <w:szCs w:val="20"/>
        </w:rPr>
      </w:pPr>
    </w:p>
    <w:p w:rsidR="003A4A42" w:rsidRPr="00552A65" w:rsidRDefault="003A4A42" w:rsidP="00194244">
      <w:pPr>
        <w:pStyle w:val="ListParagraph"/>
        <w:numPr>
          <w:ilvl w:val="0"/>
          <w:numId w:val="28"/>
        </w:numPr>
        <w:tabs>
          <w:tab w:val="left" w:pos="720"/>
        </w:tabs>
        <w:spacing w:beforeLines="1" w:before="2" w:afterLines="1" w:after="2"/>
        <w:jc w:val="both"/>
        <w:rPr>
          <w:rFonts w:ascii="Garamond" w:hAnsi="Garamond"/>
          <w:sz w:val="22"/>
        </w:rPr>
      </w:pPr>
      <w:r w:rsidRPr="00694F04">
        <w:rPr>
          <w:rFonts w:ascii="Garamond" w:hAnsi="Garamond"/>
          <w:sz w:val="22"/>
        </w:rPr>
        <w:t>After the SOSA results are announced</w:t>
      </w:r>
      <w:r w:rsidRPr="003A4A42">
        <w:rPr>
          <w:rFonts w:ascii="Garamond" w:hAnsi="Garamond"/>
          <w:sz w:val="22"/>
        </w:rPr>
        <w:t>, the</w:t>
      </w:r>
      <w:r>
        <w:rPr>
          <w:rFonts w:ascii="Garamond" w:hAnsi="Garamond"/>
          <w:sz w:val="22"/>
        </w:rPr>
        <w:t xml:space="preserve"> </w:t>
      </w:r>
      <w:r w:rsidRPr="003A4A42">
        <w:rPr>
          <w:rFonts w:ascii="Garamond" w:hAnsi="Garamond"/>
          <w:sz w:val="22"/>
        </w:rPr>
        <w:t xml:space="preserve">Chair of </w:t>
      </w:r>
      <w:r>
        <w:rPr>
          <w:rFonts w:ascii="Garamond" w:hAnsi="Garamond"/>
          <w:sz w:val="22"/>
        </w:rPr>
        <w:t xml:space="preserve">the </w:t>
      </w:r>
      <w:r w:rsidRPr="003A4A42">
        <w:rPr>
          <w:rFonts w:ascii="Garamond" w:hAnsi="Garamond"/>
          <w:sz w:val="22"/>
        </w:rPr>
        <w:t xml:space="preserve">SOSA Committee </w:t>
      </w:r>
      <w:r>
        <w:rPr>
          <w:rFonts w:ascii="Garamond" w:hAnsi="Garamond"/>
          <w:sz w:val="22"/>
        </w:rPr>
        <w:t>can share the average scores of</w:t>
      </w:r>
      <w:r w:rsidRPr="003A4A42">
        <w:rPr>
          <w:rFonts w:ascii="Garamond" w:hAnsi="Garamond"/>
          <w:sz w:val="22"/>
        </w:rPr>
        <w:t xml:space="preserve"> each category </w:t>
      </w:r>
      <w:r>
        <w:rPr>
          <w:rFonts w:ascii="Garamond" w:hAnsi="Garamond"/>
          <w:sz w:val="22"/>
        </w:rPr>
        <w:t xml:space="preserve">in the evaluation rubric </w:t>
      </w:r>
      <w:r w:rsidRPr="003A4A42">
        <w:rPr>
          <w:rFonts w:ascii="Garamond" w:hAnsi="Garamond"/>
          <w:sz w:val="22"/>
        </w:rPr>
        <w:t>with applicants who request feedback</w:t>
      </w:r>
      <w:r>
        <w:rPr>
          <w:rFonts w:ascii="Garamond" w:hAnsi="Garamond"/>
          <w:sz w:val="22"/>
        </w:rPr>
        <w:t>.</w:t>
      </w:r>
    </w:p>
    <w:p w:rsidR="00706B09" w:rsidRPr="00FE5EDD" w:rsidRDefault="00706B09" w:rsidP="00706B09">
      <w:pPr>
        <w:jc w:val="both"/>
        <w:rPr>
          <w:rFonts w:ascii="Garamond" w:hAnsi="Garamond"/>
          <w:sz w:val="22"/>
        </w:rPr>
      </w:pPr>
    </w:p>
    <w:p w:rsidR="00706B09" w:rsidRPr="00FE5EDD" w:rsidRDefault="00706B09" w:rsidP="00706B09">
      <w:pPr>
        <w:tabs>
          <w:tab w:val="left" w:pos="360"/>
          <w:tab w:val="left" w:pos="720"/>
        </w:tabs>
        <w:jc w:val="both"/>
        <w:rPr>
          <w:rFonts w:ascii="Garamond" w:hAnsi="Garamond"/>
          <w:b/>
          <w:sz w:val="22"/>
        </w:rPr>
      </w:pPr>
      <w:r w:rsidRPr="00FE5EDD">
        <w:rPr>
          <w:rFonts w:ascii="Garamond" w:hAnsi="Garamond"/>
          <w:b/>
          <w:sz w:val="22"/>
        </w:rPr>
        <w:tab/>
      </w:r>
      <w:r>
        <w:rPr>
          <w:rFonts w:ascii="Garamond" w:hAnsi="Garamond"/>
          <w:b/>
          <w:sz w:val="22"/>
        </w:rPr>
        <w:t>3</w:t>
      </w:r>
      <w:r w:rsidRPr="00FE5EDD">
        <w:rPr>
          <w:rFonts w:ascii="Garamond" w:hAnsi="Garamond"/>
          <w:b/>
          <w:sz w:val="22"/>
        </w:rPr>
        <w:t>.</w:t>
      </w:r>
      <w:r w:rsidRPr="00FE5EDD">
        <w:rPr>
          <w:rFonts w:ascii="Garamond" w:hAnsi="Garamond"/>
          <w:b/>
          <w:sz w:val="22"/>
        </w:rPr>
        <w:tab/>
        <w:t>Review Criteria</w:t>
      </w:r>
    </w:p>
    <w:p w:rsidR="00706B09" w:rsidRPr="00FE5EDD" w:rsidRDefault="00706B09" w:rsidP="00706B09">
      <w:pPr>
        <w:tabs>
          <w:tab w:val="left" w:pos="720"/>
          <w:tab w:val="left" w:pos="1080"/>
          <w:tab w:val="left" w:pos="1440"/>
        </w:tabs>
        <w:ind w:left="720" w:hanging="720"/>
        <w:jc w:val="both"/>
        <w:rPr>
          <w:rFonts w:ascii="Garamond" w:hAnsi="Garamond"/>
          <w:sz w:val="22"/>
        </w:rPr>
      </w:pPr>
      <w:r>
        <w:rPr>
          <w:rFonts w:ascii="Garamond" w:hAnsi="Garamond"/>
          <w:sz w:val="22"/>
        </w:rPr>
        <w:tab/>
      </w:r>
      <w:r w:rsidRPr="00FE5EDD">
        <w:rPr>
          <w:rFonts w:ascii="Garamond" w:hAnsi="Garamond"/>
          <w:sz w:val="22"/>
        </w:rPr>
        <w:t>The applicant should keep in mind that non-sp</w:t>
      </w:r>
      <w:r>
        <w:rPr>
          <w:rFonts w:ascii="Garamond" w:hAnsi="Garamond"/>
          <w:sz w:val="22"/>
        </w:rPr>
        <w:t>ecialists will be evaluating her/his</w:t>
      </w:r>
      <w:r w:rsidRPr="00FE5EDD">
        <w:rPr>
          <w:rFonts w:ascii="Garamond" w:hAnsi="Garamond"/>
          <w:sz w:val="22"/>
        </w:rPr>
        <w:t xml:space="preserve"> proposal, so the applicant should be certain to use non-technical language that is accessible to any educated lay person. It is the applicant</w:t>
      </w:r>
      <w:r>
        <w:rPr>
          <w:rFonts w:ascii="Garamond" w:hAnsi="Garamond"/>
          <w:sz w:val="22"/>
        </w:rPr>
        <w:t>’</w:t>
      </w:r>
      <w:r w:rsidRPr="00FE5EDD">
        <w:rPr>
          <w:rFonts w:ascii="Garamond" w:hAnsi="Garamond"/>
          <w:sz w:val="22"/>
        </w:rPr>
        <w:t xml:space="preserve">s responsibility to present the </w:t>
      </w:r>
      <w:r>
        <w:rPr>
          <w:rFonts w:ascii="Garamond" w:hAnsi="Garamond"/>
          <w:sz w:val="22"/>
        </w:rPr>
        <w:t>proposal</w:t>
      </w:r>
      <w:r w:rsidRPr="00FE5EDD">
        <w:rPr>
          <w:rFonts w:ascii="Garamond" w:hAnsi="Garamond"/>
          <w:sz w:val="22"/>
        </w:rPr>
        <w:t xml:space="preserve"> in a clear, well-organized</w:t>
      </w:r>
      <w:r>
        <w:rPr>
          <w:rFonts w:ascii="Garamond" w:hAnsi="Garamond"/>
          <w:sz w:val="22"/>
        </w:rPr>
        <w:t>, and coherent</w:t>
      </w:r>
      <w:r w:rsidRPr="00FE5EDD">
        <w:rPr>
          <w:rFonts w:ascii="Garamond" w:hAnsi="Garamond"/>
          <w:sz w:val="22"/>
        </w:rPr>
        <w:t xml:space="preserve"> manner that effectively communicates the </w:t>
      </w:r>
      <w:r>
        <w:rPr>
          <w:rFonts w:ascii="Garamond" w:hAnsi="Garamond"/>
          <w:sz w:val="22"/>
        </w:rPr>
        <w:t>proposed work</w:t>
      </w:r>
      <w:r w:rsidRPr="00FE5EDD">
        <w:rPr>
          <w:rFonts w:ascii="Garamond" w:hAnsi="Garamond"/>
          <w:sz w:val="22"/>
        </w:rPr>
        <w:t xml:space="preserve"> and its merits.</w:t>
      </w:r>
      <w:r>
        <w:rPr>
          <w:rFonts w:ascii="Garamond" w:hAnsi="Garamond"/>
          <w:sz w:val="22"/>
        </w:rPr>
        <w:t xml:space="preserve"> </w:t>
      </w:r>
      <w:r w:rsidRPr="00FE5EDD">
        <w:rPr>
          <w:rFonts w:ascii="Garamond" w:hAnsi="Garamond"/>
          <w:sz w:val="22"/>
        </w:rPr>
        <w:t xml:space="preserve"> SOSA Committee members will evaluate each proposal on the basis of its</w:t>
      </w:r>
      <w:r>
        <w:rPr>
          <w:rFonts w:ascii="Garamond" w:hAnsi="Garamond"/>
          <w:sz w:val="22"/>
        </w:rPr>
        <w:t xml:space="preserve"> intellectual merit and the qualifications/expertise of the applicant.  </w:t>
      </w:r>
      <w:r w:rsidRPr="00FE5EDD">
        <w:rPr>
          <w:rFonts w:ascii="Garamond" w:hAnsi="Garamond"/>
          <w:sz w:val="22"/>
        </w:rPr>
        <w:t xml:space="preserve">The evaluation rubric that will be used by the SOSA Committee can be found on the last page of </w:t>
      </w:r>
      <w:r>
        <w:rPr>
          <w:rFonts w:ascii="Garamond" w:hAnsi="Garamond"/>
          <w:sz w:val="22"/>
        </w:rPr>
        <w:t>the Request for Proposals</w:t>
      </w:r>
      <w:r w:rsidRPr="00FE5EDD">
        <w:rPr>
          <w:rFonts w:ascii="Garamond" w:hAnsi="Garamond"/>
          <w:sz w:val="22"/>
        </w:rPr>
        <w:t xml:space="preserve">.   </w:t>
      </w:r>
    </w:p>
    <w:p w:rsidR="00942F77" w:rsidRPr="00FE5EDD" w:rsidRDefault="00942F77" w:rsidP="00942F77">
      <w:pPr>
        <w:tabs>
          <w:tab w:val="left" w:pos="360"/>
        </w:tabs>
        <w:jc w:val="both"/>
        <w:rPr>
          <w:rFonts w:ascii="Garamond" w:hAnsi="Garamond"/>
          <w:b/>
          <w:smallCaps/>
        </w:rPr>
      </w:pPr>
    </w:p>
    <w:p w:rsidR="00942F77" w:rsidRDefault="00942F77" w:rsidP="00942F77">
      <w:pPr>
        <w:tabs>
          <w:tab w:val="left" w:pos="360"/>
        </w:tabs>
        <w:jc w:val="both"/>
        <w:rPr>
          <w:rFonts w:ascii="Garamond" w:hAnsi="Garamond"/>
          <w:b/>
          <w:smallCaps/>
        </w:rPr>
      </w:pPr>
      <w:r>
        <w:rPr>
          <w:rFonts w:ascii="Garamond" w:hAnsi="Garamond"/>
          <w:b/>
          <w:smallCaps/>
        </w:rPr>
        <w:t>Post-award Reporting Requirements</w:t>
      </w:r>
    </w:p>
    <w:p w:rsidR="00942F77" w:rsidRPr="002D3826" w:rsidRDefault="00194244" w:rsidP="00942F77">
      <w:pPr>
        <w:tabs>
          <w:tab w:val="left" w:pos="360"/>
        </w:tabs>
        <w:jc w:val="both"/>
        <w:rPr>
          <w:rFonts w:ascii="Garamond" w:hAnsi="Garamond"/>
          <w:b/>
          <w:sz w:val="16"/>
        </w:rPr>
      </w:pPr>
      <w:r>
        <w:rPr>
          <w:rFonts w:ascii="Times" w:hAnsi="Times"/>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36195</wp:posOffset>
                </wp:positionV>
                <wp:extent cx="5943600" cy="6985"/>
                <wp:effectExtent l="9525" t="7620" r="9525" b="1397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985"/>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" strokecolor="#339"/>
            </w:pict>
          </mc:Fallback>
        </mc:AlternateContent>
      </w:r>
    </w:p>
    <w:p w:rsidR="00942F77" w:rsidRPr="00C0279C" w:rsidRDefault="00942F77" w:rsidP="00955A72">
      <w:pPr>
        <w:jc w:val="both"/>
        <w:rPr>
          <w:rFonts w:ascii="Garamond" w:hAnsi="Garamond"/>
          <w:sz w:val="22"/>
        </w:rPr>
      </w:pPr>
      <w:r>
        <w:rPr>
          <w:rFonts w:ascii="Garamond" w:hAnsi="Garamond"/>
          <w:sz w:val="22"/>
        </w:rPr>
        <w:t>E</w:t>
      </w:r>
      <w:r w:rsidRPr="00C0279C">
        <w:rPr>
          <w:rFonts w:ascii="Garamond" w:hAnsi="Garamond"/>
          <w:sz w:val="22"/>
        </w:rPr>
        <w:t xml:space="preserve">very supported faculty member </w:t>
      </w:r>
      <w:r w:rsidR="00C81511">
        <w:rPr>
          <w:rFonts w:ascii="Garamond" w:hAnsi="Garamond"/>
          <w:sz w:val="22"/>
        </w:rPr>
        <w:t xml:space="preserve">and librarian </w:t>
      </w:r>
      <w:r w:rsidRPr="00C0279C">
        <w:rPr>
          <w:rFonts w:ascii="Garamond" w:hAnsi="Garamond"/>
          <w:sz w:val="22"/>
        </w:rPr>
        <w:t>must submit a final report of scholarly</w:t>
      </w:r>
      <w:r w:rsidR="00C81511">
        <w:rPr>
          <w:rFonts w:ascii="Garamond" w:hAnsi="Garamond"/>
          <w:sz w:val="22"/>
        </w:rPr>
        <w:t>/creative/professional</w:t>
      </w:r>
      <w:r w:rsidRPr="00C0279C">
        <w:rPr>
          <w:rFonts w:ascii="Garamond" w:hAnsi="Garamond"/>
          <w:sz w:val="22"/>
        </w:rPr>
        <w:t xml:space="preserve"> activities at the end of the grant period, to be submitted to the Office of Academic Affairs on the first Monday of October. Reports will be used in the evaluation of subsequent applications.  Failure to submit a report will place future workload assignments for scholarship in jeopardy.</w:t>
      </w:r>
    </w:p>
    <w:p w:rsidR="00942F77" w:rsidRPr="00C0279C" w:rsidRDefault="00942F77" w:rsidP="00955A72">
      <w:pPr>
        <w:jc w:val="both"/>
        <w:rPr>
          <w:rFonts w:ascii="Garamond" w:hAnsi="Garamond"/>
          <w:sz w:val="22"/>
        </w:rPr>
      </w:pPr>
    </w:p>
    <w:p w:rsidR="00E44A48" w:rsidRDefault="00942F77">
      <w:pPr>
        <w:jc w:val="both"/>
        <w:rPr>
          <w:rFonts w:ascii="Garamond" w:hAnsi="Garamond"/>
          <w:sz w:val="22"/>
        </w:rPr>
      </w:pPr>
      <w:r w:rsidRPr="00C0279C">
        <w:rPr>
          <w:rFonts w:ascii="Garamond" w:hAnsi="Garamond"/>
          <w:sz w:val="22"/>
        </w:rPr>
        <w:t xml:space="preserve">The report should include a brief description of 1) the nature of the scholarly/creative/professional activities carried out during the SOSA award, 2) the objectives and expected outcomes from the original, funded SOSA proposal, and 3) a short explanation of how they were met or why they were not met.  Instructions for the format of the </w:t>
      </w:r>
      <w:r w:rsidRPr="00C0279C">
        <w:rPr>
          <w:rFonts w:ascii="Garamond" w:hAnsi="Garamond"/>
          <w:i/>
          <w:sz w:val="22"/>
        </w:rPr>
        <w:t>Alternate Assignments Follow-up Report</w:t>
      </w:r>
      <w:r w:rsidRPr="00C0279C">
        <w:rPr>
          <w:rFonts w:ascii="Garamond" w:hAnsi="Garamond"/>
          <w:sz w:val="22"/>
        </w:rPr>
        <w:t xml:space="preserve"> are available online: </w:t>
      </w:r>
    </w:p>
    <w:p w:rsidR="00E44A48" w:rsidRDefault="00194244">
      <w:pPr>
        <w:jc w:val="both"/>
        <w:rPr>
          <w:rFonts w:ascii="Garamond" w:hAnsi="Garamond"/>
          <w:sz w:val="22"/>
        </w:rPr>
      </w:pPr>
      <w:hyperlink r:id="rId15" w:history="1">
        <w:r w:rsidR="00E44A48" w:rsidRPr="001F6394">
          <w:rPr>
            <w:rStyle w:val="Hyperlink"/>
            <w:rFonts w:ascii="Garamond" w:hAnsi="Garamond"/>
            <w:sz w:val="22"/>
          </w:rPr>
          <w:t>http://www.tcnj.edu/~academic/research/index.html</w:t>
        </w:r>
      </w:hyperlink>
      <w:r w:rsidR="00942F77" w:rsidRPr="00C0279C">
        <w:rPr>
          <w:rFonts w:ascii="Garamond" w:hAnsi="Garamond"/>
          <w:sz w:val="22"/>
        </w:rPr>
        <w:t>.</w:t>
      </w:r>
    </w:p>
    <w:p w:rsidR="00942F77" w:rsidRPr="00C0279C" w:rsidRDefault="00942F77" w:rsidP="00955A72">
      <w:pPr>
        <w:jc w:val="both"/>
        <w:rPr>
          <w:rFonts w:ascii="Garamond" w:hAnsi="Garamond"/>
          <w:sz w:val="22"/>
        </w:rPr>
      </w:pPr>
    </w:p>
    <w:p w:rsidR="00942F77" w:rsidRDefault="00942F77" w:rsidP="00955A72">
      <w:pPr>
        <w:jc w:val="both"/>
        <w:rPr>
          <w:rFonts w:ascii="Garamond" w:hAnsi="Garamond"/>
          <w:sz w:val="22"/>
        </w:rPr>
      </w:pPr>
      <w:r w:rsidRPr="00C0279C">
        <w:rPr>
          <w:rFonts w:ascii="Garamond" w:hAnsi="Garamond"/>
          <w:sz w:val="22"/>
        </w:rPr>
        <w:t>Interim reports at the end of the first year of a two-year award are not necessary.</w:t>
      </w:r>
    </w:p>
    <w:p w:rsidR="00942F77" w:rsidRPr="00283EB7" w:rsidRDefault="00942F77" w:rsidP="00446DBB">
      <w:pPr>
        <w:jc w:val="center"/>
        <w:rPr>
          <w:rFonts w:ascii="Garamond" w:hAnsi="Garamond"/>
          <w:sz w:val="22"/>
        </w:rPr>
      </w:pPr>
      <w:r>
        <w:rPr>
          <w:rFonts w:ascii="Garamond" w:hAnsi="Garamond"/>
          <w:sz w:val="22"/>
        </w:rPr>
        <w:br w:type="page"/>
      </w:r>
      <w:r w:rsidRPr="00346602">
        <w:rPr>
          <w:rFonts w:ascii="Garamond" w:hAnsi="Garamond"/>
          <w:b/>
          <w:smallCaps/>
          <w:sz w:val="28"/>
        </w:rPr>
        <w:t>Evaluation Rubric for SOSA Applications</w:t>
      </w:r>
    </w:p>
    <w:p w:rsidR="00942F77" w:rsidRPr="003F590E" w:rsidRDefault="00942F77" w:rsidP="00942F77">
      <w:pPr>
        <w:tabs>
          <w:tab w:val="left" w:pos="5160"/>
        </w:tabs>
        <w:rPr>
          <w:rFonts w:ascii="Garamond" w:hAnsi="Garamond"/>
          <w:sz w:val="22"/>
        </w:rPr>
      </w:pPr>
    </w:p>
    <w:p w:rsidR="00942F77" w:rsidRDefault="00942F77" w:rsidP="00942F77">
      <w:pPr>
        <w:tabs>
          <w:tab w:val="left" w:pos="5160"/>
        </w:tabs>
        <w:rPr>
          <w:rFonts w:ascii="Garamond" w:hAnsi="Garamond"/>
          <w:sz w:val="20"/>
          <w:szCs w:val="18"/>
        </w:rPr>
      </w:pPr>
    </w:p>
    <w:p w:rsidR="00942F77" w:rsidRPr="003F590E" w:rsidRDefault="00942F77" w:rsidP="00942F77">
      <w:pPr>
        <w:tabs>
          <w:tab w:val="left" w:pos="5160"/>
        </w:tabs>
        <w:rPr>
          <w:rFonts w:ascii="Garamond" w:hAnsi="Garamond"/>
          <w:sz w:val="20"/>
          <w:szCs w:val="18"/>
        </w:rPr>
      </w:pPr>
      <w:r w:rsidRPr="003F590E">
        <w:rPr>
          <w:rFonts w:ascii="Garamond" w:hAnsi="Garamond"/>
          <w:sz w:val="20"/>
          <w:szCs w:val="18"/>
        </w:rPr>
        <w:t>Applicant</w:t>
      </w:r>
      <w:r w:rsidR="00FE61E0">
        <w:rPr>
          <w:rFonts w:ascii="Garamond" w:hAnsi="Garamond"/>
          <w:sz w:val="20"/>
          <w:szCs w:val="18"/>
        </w:rPr>
        <w:t>’</w:t>
      </w:r>
      <w:r w:rsidRPr="003F590E">
        <w:rPr>
          <w:rFonts w:ascii="Garamond" w:hAnsi="Garamond"/>
          <w:sz w:val="20"/>
          <w:szCs w:val="18"/>
        </w:rPr>
        <w:t>s Name___________________________________________________</w:t>
      </w:r>
    </w:p>
    <w:p w:rsidR="00942F77" w:rsidRPr="003F590E" w:rsidRDefault="00942F77" w:rsidP="00942F77">
      <w:pPr>
        <w:rPr>
          <w:rFonts w:ascii="Garamond" w:hAnsi="Garamond"/>
          <w:sz w:val="20"/>
          <w:szCs w:val="18"/>
        </w:rPr>
      </w:pPr>
    </w:p>
    <w:p w:rsidR="00942F77" w:rsidRPr="003F590E" w:rsidRDefault="00942F77" w:rsidP="00942F77">
      <w:pPr>
        <w:widowControl w:val="0"/>
        <w:autoSpaceDE w:val="0"/>
        <w:autoSpaceDN w:val="0"/>
        <w:adjustRightInd w:val="0"/>
        <w:rPr>
          <w:rFonts w:ascii="Garamond" w:hAnsi="Garamond"/>
          <w:sz w:val="20"/>
          <w:szCs w:val="18"/>
        </w:rPr>
      </w:pPr>
      <w:r w:rsidRPr="003F590E">
        <w:rPr>
          <w:rFonts w:ascii="Garamond" w:hAnsi="Garamond"/>
          <w:sz w:val="20"/>
          <w:szCs w:val="18"/>
        </w:rPr>
        <w:t xml:space="preserve">Correct format?   </w:t>
      </w:r>
      <w:r w:rsidRPr="003F590E">
        <w:rPr>
          <w:rFonts w:ascii="Garamond" w:hAnsi="Garamond"/>
          <w:sz w:val="20"/>
          <w:szCs w:val="18"/>
        </w:rPr>
        <w:tab/>
      </w:r>
      <w:r w:rsidRPr="003F590E">
        <w:rPr>
          <w:rFonts w:ascii="Garamond" w:hAnsi="Garamond"/>
          <w:sz w:val="20"/>
          <w:szCs w:val="18"/>
        </w:rPr>
        <w:tab/>
        <w:t>Yes   No</w:t>
      </w:r>
    </w:p>
    <w:p w:rsidR="00942F77" w:rsidRPr="003F590E" w:rsidRDefault="00942F77" w:rsidP="00942F77">
      <w:pPr>
        <w:widowControl w:val="0"/>
        <w:autoSpaceDE w:val="0"/>
        <w:autoSpaceDN w:val="0"/>
        <w:adjustRightInd w:val="0"/>
        <w:rPr>
          <w:rFonts w:ascii="Garamond" w:hAnsi="Garamond"/>
          <w:sz w:val="20"/>
          <w:szCs w:val="18"/>
        </w:rPr>
      </w:pPr>
      <w:r w:rsidRPr="003F590E">
        <w:rPr>
          <w:rFonts w:ascii="Garamond" w:hAnsi="Garamond"/>
          <w:sz w:val="20"/>
          <w:szCs w:val="18"/>
        </w:rPr>
        <w:t xml:space="preserve">Previous SOSA funding? </w:t>
      </w:r>
      <w:r w:rsidRPr="003F590E">
        <w:rPr>
          <w:rFonts w:ascii="Garamond" w:hAnsi="Garamond"/>
          <w:sz w:val="20"/>
          <w:szCs w:val="18"/>
        </w:rPr>
        <w:tab/>
        <w:t xml:space="preserve">Yes   No </w:t>
      </w:r>
    </w:p>
    <w:p w:rsidR="00942F77" w:rsidRPr="003F590E" w:rsidRDefault="00942F77" w:rsidP="00942F77">
      <w:pPr>
        <w:rPr>
          <w:rFonts w:ascii="Garamond" w:hAnsi="Garamond"/>
          <w:sz w:val="20"/>
          <w:szCs w:val="18"/>
        </w:rPr>
      </w:pPr>
    </w:p>
    <w:p w:rsidR="00942F77" w:rsidRPr="003F590E" w:rsidRDefault="00942F77" w:rsidP="00942F77">
      <w:pPr>
        <w:rPr>
          <w:rFonts w:ascii="Garamond" w:hAnsi="Garamond"/>
          <w:b/>
          <w:sz w:val="20"/>
          <w:szCs w:val="18"/>
        </w:rPr>
      </w:pPr>
      <w:r w:rsidRPr="003F590E">
        <w:rPr>
          <w:rFonts w:ascii="Garamond" w:hAnsi="Garamond"/>
          <w:b/>
          <w:sz w:val="20"/>
          <w:szCs w:val="18"/>
        </w:rPr>
        <w:t>Score definitions:</w:t>
      </w:r>
    </w:p>
    <w:p w:rsidR="00942F77" w:rsidRPr="003F590E" w:rsidRDefault="00942F77" w:rsidP="00942F77">
      <w:pPr>
        <w:rPr>
          <w:rFonts w:ascii="Garamond" w:hAnsi="Garamond"/>
          <w:sz w:val="20"/>
          <w:szCs w:val="18"/>
        </w:rPr>
      </w:pPr>
      <w:r w:rsidRPr="003F590E">
        <w:rPr>
          <w:rFonts w:ascii="Garamond" w:hAnsi="Garamond"/>
          <w:sz w:val="20"/>
          <w:szCs w:val="18"/>
        </w:rPr>
        <w:t xml:space="preserve">0 absent / 1 poor / 2 barely adequate / 3 fair / 4 good / 5 very good / 6 excellent / 7 outstanding </w:t>
      </w:r>
      <w:r w:rsidRPr="003F590E">
        <w:rPr>
          <w:rFonts w:ascii="Garamond" w:hAnsi="Garamond"/>
          <w:sz w:val="20"/>
          <w:szCs w:val="18"/>
        </w:rPr>
        <w:tab/>
      </w:r>
      <w:r w:rsidRPr="003F590E">
        <w:rPr>
          <w:rFonts w:ascii="Garamond" w:hAnsi="Garamond"/>
          <w:sz w:val="20"/>
          <w:szCs w:val="18"/>
        </w:rPr>
        <w:tab/>
      </w:r>
    </w:p>
    <w:p w:rsidR="00942F77" w:rsidRPr="003F590E" w:rsidRDefault="00942F77" w:rsidP="00942F77">
      <w:pPr>
        <w:rPr>
          <w:rFonts w:ascii="Garamond" w:hAnsi="Garamond"/>
          <w:sz w:val="20"/>
          <w:szCs w:val="18"/>
        </w:rPr>
      </w:pPr>
    </w:p>
    <w:p w:rsidR="00942F77" w:rsidRPr="00B32BB3" w:rsidRDefault="00942F77" w:rsidP="00942F77">
      <w:pPr>
        <w:rPr>
          <w:rFonts w:ascii="Garamond" w:hAnsi="Garamond"/>
          <w:b/>
          <w:sz w:val="20"/>
          <w:szCs w:val="18"/>
        </w:rPr>
      </w:pPr>
      <w:r w:rsidRPr="00B32BB3">
        <w:rPr>
          <w:rFonts w:ascii="Garamond" w:hAnsi="Garamond"/>
          <w:b/>
          <w:sz w:val="20"/>
          <w:szCs w:val="18"/>
        </w:rPr>
        <w:t>Score the following categories based on how they are presented in the proposal, in both content and clarity.</w:t>
      </w:r>
    </w:p>
    <w:p w:rsidR="00942F77" w:rsidRPr="003F590E" w:rsidRDefault="00942F77" w:rsidP="00942F77">
      <w:pPr>
        <w:rPr>
          <w:rFonts w:ascii="Garamond" w:hAnsi="Garamond"/>
          <w:sz w:val="20"/>
          <w:szCs w:val="18"/>
        </w:rPr>
      </w:pPr>
      <w:r w:rsidRPr="003F590E">
        <w:rPr>
          <w:rFonts w:ascii="Garamond" w:hAnsi="Garamond"/>
          <w:b/>
          <w:i/>
          <w:sz w:val="20"/>
          <w:szCs w:val="18"/>
        </w:rPr>
        <w:t xml:space="preserve"> </w:t>
      </w:r>
    </w:p>
    <w:p w:rsidR="00942F77" w:rsidRDefault="00942F77" w:rsidP="00942F77">
      <w:pPr>
        <w:tabs>
          <w:tab w:val="left" w:pos="4500"/>
        </w:tabs>
        <w:rPr>
          <w:rFonts w:ascii="Garamond" w:hAnsi="Garamond"/>
          <w:b/>
          <w:color w:val="000000"/>
          <w:sz w:val="20"/>
          <w:szCs w:val="18"/>
        </w:rPr>
      </w:pPr>
    </w:p>
    <w:p w:rsidR="00AA14A3" w:rsidRPr="00B32BB3" w:rsidRDefault="00942F77">
      <w:pPr>
        <w:tabs>
          <w:tab w:val="left" w:pos="4320"/>
        </w:tabs>
        <w:rPr>
          <w:rFonts w:ascii="Garamond" w:hAnsi="Garamond"/>
          <w:b/>
          <w:color w:val="000000"/>
          <w:szCs w:val="18"/>
        </w:rPr>
      </w:pPr>
      <w:r w:rsidRPr="00B32BB3">
        <w:rPr>
          <w:rFonts w:ascii="Garamond" w:hAnsi="Garamond"/>
          <w:b/>
          <w:szCs w:val="18"/>
        </w:rPr>
        <w:t>Intellectual Merit</w:t>
      </w:r>
      <w:r w:rsidR="00955A72" w:rsidRPr="00B32BB3">
        <w:rPr>
          <w:rFonts w:ascii="Garamond" w:hAnsi="Garamond"/>
          <w:b/>
          <w:color w:val="000000"/>
          <w:szCs w:val="18"/>
        </w:rPr>
        <w:tab/>
      </w:r>
      <w:r w:rsidRPr="00B32BB3">
        <w:rPr>
          <w:rFonts w:ascii="Garamond" w:hAnsi="Garamond"/>
          <w:b/>
          <w:color w:val="000000"/>
          <w:szCs w:val="18"/>
        </w:rPr>
        <w:tab/>
      </w:r>
      <w:r w:rsidRPr="00B32BB3">
        <w:rPr>
          <w:rFonts w:ascii="Garamond" w:hAnsi="Garamond"/>
          <w:b/>
          <w:color w:val="000090"/>
          <w:szCs w:val="18"/>
        </w:rPr>
        <w:t xml:space="preserve">Score =  </w:t>
      </w:r>
      <w:r w:rsidRPr="00B32BB3">
        <w:rPr>
          <w:rFonts w:ascii="Garamond" w:hAnsi="Garamond"/>
          <w:b/>
          <w:color w:val="000090"/>
          <w:szCs w:val="18"/>
          <w:bdr w:val="single" w:sz="4" w:space="0" w:color="auto"/>
          <w:shd w:val="clear" w:color="auto" w:fill="E0E0E0"/>
        </w:rPr>
        <w:t xml:space="preserve">            </w:t>
      </w:r>
      <w:r w:rsidRPr="00B32BB3">
        <w:rPr>
          <w:rFonts w:ascii="Garamond" w:hAnsi="Garamond"/>
          <w:b/>
          <w:color w:val="000090"/>
          <w:szCs w:val="18"/>
        </w:rPr>
        <w:t xml:space="preserve">  (max 42 pts)</w:t>
      </w:r>
    </w:p>
    <w:p w:rsidR="00942F77" w:rsidRPr="003F590E" w:rsidRDefault="00942F77" w:rsidP="00955A72">
      <w:pPr>
        <w:tabs>
          <w:tab w:val="left" w:pos="5040"/>
        </w:tabs>
        <w:rPr>
          <w:rFonts w:ascii="Garamond" w:hAnsi="Garamond"/>
          <w:color w:val="000000"/>
          <w:sz w:val="16"/>
          <w:szCs w:val="18"/>
        </w:rPr>
      </w:pPr>
      <w:r w:rsidRPr="003F590E">
        <w:rPr>
          <w:rFonts w:ascii="Garamond" w:hAnsi="Garamond"/>
          <w:b/>
          <w:color w:val="000000"/>
          <w:sz w:val="16"/>
          <w:szCs w:val="18"/>
        </w:rPr>
        <w:tab/>
      </w:r>
      <w:r w:rsidRPr="003F590E">
        <w:rPr>
          <w:rFonts w:ascii="Garamond" w:hAnsi="Garamond"/>
          <w:color w:val="000000"/>
          <w:sz w:val="16"/>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380"/>
        <w:gridCol w:w="451"/>
        <w:gridCol w:w="451"/>
        <w:gridCol w:w="465"/>
        <w:gridCol w:w="465"/>
        <w:gridCol w:w="465"/>
        <w:gridCol w:w="465"/>
        <w:gridCol w:w="476"/>
      </w:tblGrid>
      <w:tr w:rsidR="00942F77" w:rsidRPr="003F590E">
        <w:tc>
          <w:tcPr>
            <w:tcW w:w="5238" w:type="dxa"/>
          </w:tcPr>
          <w:p w:rsidR="00942F77" w:rsidRPr="003F590E" w:rsidRDefault="00942F77" w:rsidP="002E0F1E">
            <w:pPr>
              <w:rPr>
                <w:rFonts w:ascii="Garamond" w:hAnsi="Garamond"/>
                <w:color w:val="000000"/>
                <w:sz w:val="20"/>
                <w:szCs w:val="18"/>
              </w:rPr>
            </w:pPr>
            <w:r w:rsidRPr="003F590E">
              <w:rPr>
                <w:rFonts w:ascii="Garamond" w:hAnsi="Garamond"/>
                <w:sz w:val="20"/>
                <w:szCs w:val="18"/>
              </w:rPr>
              <w:t xml:space="preserve">Quality </w:t>
            </w:r>
            <w:r>
              <w:rPr>
                <w:rFonts w:ascii="Garamond" w:hAnsi="Garamond"/>
                <w:sz w:val="20"/>
                <w:szCs w:val="18"/>
              </w:rPr>
              <w:t xml:space="preserve">and coherence </w:t>
            </w:r>
            <w:r w:rsidRPr="003F590E">
              <w:rPr>
                <w:rFonts w:ascii="Garamond" w:hAnsi="Garamond"/>
                <w:sz w:val="20"/>
                <w:szCs w:val="18"/>
              </w:rPr>
              <w:t>of the scholarly</w:t>
            </w:r>
            <w:r>
              <w:rPr>
                <w:rFonts w:ascii="Garamond" w:hAnsi="Garamond"/>
                <w:color w:val="000000"/>
                <w:sz w:val="20"/>
                <w:szCs w:val="18"/>
              </w:rPr>
              <w:t>/creative/professional</w:t>
            </w:r>
            <w:r w:rsidRPr="003F590E">
              <w:rPr>
                <w:rFonts w:ascii="Garamond" w:hAnsi="Garamond"/>
                <w:color w:val="000000"/>
                <w:sz w:val="20"/>
                <w:szCs w:val="18"/>
              </w:rPr>
              <w:t xml:space="preserve"> </w:t>
            </w:r>
            <w:r>
              <w:rPr>
                <w:rFonts w:ascii="Garamond" w:hAnsi="Garamond"/>
                <w:sz w:val="20"/>
                <w:szCs w:val="18"/>
              </w:rPr>
              <w:t>ideas and work</w:t>
            </w:r>
            <w:r w:rsidRPr="003F590E">
              <w:rPr>
                <w:rFonts w:ascii="Garamond" w:hAnsi="Garamond"/>
                <w:sz w:val="20"/>
                <w:szCs w:val="18"/>
              </w:rPr>
              <w:t xml:space="preserve"> proposed</w:t>
            </w:r>
          </w:p>
          <w:p w:rsidR="00942F77" w:rsidRPr="003F590E" w:rsidRDefault="00942F77" w:rsidP="002E0F1E">
            <w:pPr>
              <w:rPr>
                <w:rFonts w:ascii="Garamond" w:hAnsi="Garamond"/>
                <w:color w:val="000000"/>
                <w:sz w:val="20"/>
                <w:szCs w:val="18"/>
              </w:rPr>
            </w:pPr>
          </w:p>
        </w:tc>
        <w:tc>
          <w:tcPr>
            <w:tcW w:w="38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942F77" w:rsidRPr="003F590E">
        <w:tc>
          <w:tcPr>
            <w:tcW w:w="5238" w:type="dxa"/>
          </w:tcPr>
          <w:p w:rsidR="00942F77" w:rsidRPr="003F590E" w:rsidRDefault="00942F77" w:rsidP="002E0F1E">
            <w:pPr>
              <w:rPr>
                <w:rFonts w:ascii="Garamond" w:hAnsi="Garamond"/>
                <w:sz w:val="20"/>
                <w:szCs w:val="18"/>
              </w:rPr>
            </w:pPr>
            <w:r w:rsidRPr="003F590E">
              <w:rPr>
                <w:rFonts w:ascii="Garamond" w:hAnsi="Garamond"/>
                <w:sz w:val="20"/>
                <w:szCs w:val="18"/>
              </w:rPr>
              <w:t xml:space="preserve">Clarity of proposed objectives </w:t>
            </w:r>
          </w:p>
          <w:p w:rsidR="00942F77" w:rsidRPr="003F590E" w:rsidRDefault="00942F77" w:rsidP="002E0F1E">
            <w:pPr>
              <w:rPr>
                <w:rFonts w:ascii="Garamond" w:hAnsi="Garamond"/>
                <w:color w:val="000000"/>
                <w:sz w:val="20"/>
                <w:szCs w:val="18"/>
              </w:rPr>
            </w:pPr>
          </w:p>
        </w:tc>
        <w:tc>
          <w:tcPr>
            <w:tcW w:w="38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942F77" w:rsidRPr="003F590E">
        <w:tc>
          <w:tcPr>
            <w:tcW w:w="5238" w:type="dxa"/>
          </w:tcPr>
          <w:p w:rsidR="00942F77" w:rsidRPr="003F590E" w:rsidRDefault="00942F77" w:rsidP="002E0F1E">
            <w:pPr>
              <w:rPr>
                <w:rFonts w:ascii="Garamond" w:hAnsi="Garamond"/>
                <w:color w:val="000000"/>
                <w:sz w:val="20"/>
                <w:szCs w:val="18"/>
              </w:rPr>
            </w:pPr>
            <w:r>
              <w:rPr>
                <w:rFonts w:ascii="Garamond" w:hAnsi="Garamond"/>
                <w:color w:val="000000"/>
                <w:sz w:val="20"/>
                <w:szCs w:val="18"/>
              </w:rPr>
              <w:t xml:space="preserve">Clarity and feasibility </w:t>
            </w:r>
            <w:r w:rsidRPr="003F590E">
              <w:rPr>
                <w:rFonts w:ascii="Garamond" w:hAnsi="Garamond"/>
                <w:color w:val="000000"/>
                <w:sz w:val="20"/>
                <w:szCs w:val="18"/>
              </w:rPr>
              <w:t>of proposed methods</w:t>
            </w:r>
          </w:p>
          <w:p w:rsidR="00942F77" w:rsidRPr="003F590E" w:rsidRDefault="00942F77" w:rsidP="002E0F1E">
            <w:pPr>
              <w:rPr>
                <w:rFonts w:ascii="Garamond" w:hAnsi="Garamond"/>
                <w:color w:val="000000"/>
                <w:sz w:val="20"/>
                <w:szCs w:val="18"/>
              </w:rPr>
            </w:pPr>
          </w:p>
        </w:tc>
        <w:tc>
          <w:tcPr>
            <w:tcW w:w="38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942F77" w:rsidRPr="003F590E">
        <w:tc>
          <w:tcPr>
            <w:tcW w:w="5238" w:type="dxa"/>
          </w:tcPr>
          <w:p w:rsidR="00942F77" w:rsidRPr="003F590E" w:rsidRDefault="00942F77" w:rsidP="002E0F1E">
            <w:pPr>
              <w:rPr>
                <w:rFonts w:ascii="Garamond" w:hAnsi="Garamond"/>
                <w:sz w:val="20"/>
                <w:szCs w:val="18"/>
              </w:rPr>
            </w:pPr>
            <w:r w:rsidRPr="003F590E">
              <w:rPr>
                <w:rFonts w:ascii="Garamond" w:hAnsi="Garamond"/>
                <w:sz w:val="20"/>
                <w:szCs w:val="18"/>
              </w:rPr>
              <w:t>Clarity of expected scholarly</w:t>
            </w:r>
            <w:r>
              <w:rPr>
                <w:rFonts w:ascii="Garamond" w:hAnsi="Garamond"/>
                <w:sz w:val="20"/>
                <w:szCs w:val="18"/>
              </w:rPr>
              <w:t>/creative/professional</w:t>
            </w:r>
            <w:r w:rsidRPr="003F590E">
              <w:rPr>
                <w:rFonts w:ascii="Garamond" w:hAnsi="Garamond"/>
                <w:sz w:val="20"/>
                <w:szCs w:val="18"/>
              </w:rPr>
              <w:t xml:space="preserve"> outcomes</w:t>
            </w:r>
          </w:p>
          <w:p w:rsidR="00942F77" w:rsidRPr="003F590E" w:rsidRDefault="00942F77" w:rsidP="002E0F1E">
            <w:pPr>
              <w:rPr>
                <w:rFonts w:ascii="Garamond" w:hAnsi="Garamond"/>
                <w:color w:val="000000"/>
                <w:sz w:val="20"/>
                <w:szCs w:val="18"/>
              </w:rPr>
            </w:pPr>
          </w:p>
        </w:tc>
        <w:tc>
          <w:tcPr>
            <w:tcW w:w="38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942F77" w:rsidRPr="003F590E">
        <w:trPr>
          <w:trHeight w:val="791"/>
        </w:trPr>
        <w:tc>
          <w:tcPr>
            <w:tcW w:w="5238"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Importance/significance to the discipline and to applicant</w:t>
            </w:r>
            <w:r w:rsidR="00FE61E0">
              <w:rPr>
                <w:rFonts w:ascii="Garamond" w:hAnsi="Garamond"/>
                <w:color w:val="000000"/>
                <w:sz w:val="20"/>
                <w:szCs w:val="18"/>
              </w:rPr>
              <w:t>’</w:t>
            </w:r>
            <w:r w:rsidRPr="003F590E">
              <w:rPr>
                <w:rFonts w:ascii="Garamond" w:hAnsi="Garamond"/>
                <w:color w:val="000000"/>
                <w:sz w:val="20"/>
                <w:szCs w:val="18"/>
              </w:rPr>
              <w:t>s ongoing scholarly</w:t>
            </w:r>
            <w:r>
              <w:rPr>
                <w:rFonts w:ascii="Garamond" w:hAnsi="Garamond"/>
                <w:color w:val="000000"/>
                <w:sz w:val="20"/>
                <w:szCs w:val="18"/>
              </w:rPr>
              <w:t>/creative/professional</w:t>
            </w:r>
            <w:r w:rsidRPr="003F590E">
              <w:rPr>
                <w:rFonts w:ascii="Garamond" w:hAnsi="Garamond"/>
                <w:color w:val="000000"/>
                <w:sz w:val="20"/>
                <w:szCs w:val="18"/>
              </w:rPr>
              <w:t xml:space="preserve"> program (</w:t>
            </w:r>
            <w:r w:rsidRPr="003F590E">
              <w:rPr>
                <w:rFonts w:ascii="Garamond" w:hAnsi="Garamond"/>
                <w:sz w:val="20"/>
              </w:rPr>
              <w:t>sets the proposal within the appropriate context)</w:t>
            </w:r>
          </w:p>
        </w:tc>
        <w:tc>
          <w:tcPr>
            <w:tcW w:w="38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942F77" w:rsidRPr="003F590E">
        <w:trPr>
          <w:trHeight w:val="800"/>
        </w:trPr>
        <w:tc>
          <w:tcPr>
            <w:tcW w:w="5238"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 xml:space="preserve">Potential for </w:t>
            </w:r>
            <w:r>
              <w:rPr>
                <w:rFonts w:ascii="Garamond" w:hAnsi="Garamond"/>
                <w:color w:val="000000"/>
                <w:sz w:val="20"/>
                <w:szCs w:val="18"/>
              </w:rPr>
              <w:t>the proposed work to yield tangible</w:t>
            </w:r>
            <w:r w:rsidRPr="003F590E">
              <w:rPr>
                <w:rFonts w:ascii="Garamond" w:hAnsi="Garamond"/>
                <w:color w:val="000000"/>
                <w:sz w:val="20"/>
                <w:szCs w:val="18"/>
              </w:rPr>
              <w:t xml:space="preserve"> scholarly</w:t>
            </w:r>
            <w:r>
              <w:rPr>
                <w:rFonts w:ascii="Garamond" w:hAnsi="Garamond"/>
                <w:color w:val="000000"/>
                <w:sz w:val="20"/>
                <w:szCs w:val="18"/>
              </w:rPr>
              <w:t>/ creative/professional</w:t>
            </w:r>
            <w:r w:rsidRPr="003F590E">
              <w:rPr>
                <w:rFonts w:ascii="Garamond" w:hAnsi="Garamond"/>
                <w:color w:val="000000"/>
                <w:sz w:val="20"/>
                <w:szCs w:val="18"/>
              </w:rPr>
              <w:t xml:space="preserve"> outcomes (e.g., publications, grants, performances, new scholarly directions, etc.)</w:t>
            </w:r>
          </w:p>
        </w:tc>
        <w:tc>
          <w:tcPr>
            <w:tcW w:w="38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51"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5"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bl>
    <w:p w:rsidR="00942F77" w:rsidRPr="003F590E" w:rsidRDefault="00942F77" w:rsidP="00942F77">
      <w:pPr>
        <w:rPr>
          <w:rFonts w:ascii="Garamond" w:hAnsi="Garamond"/>
          <w:b/>
          <w:color w:val="000000"/>
          <w:sz w:val="20"/>
          <w:szCs w:val="18"/>
        </w:rPr>
      </w:pPr>
    </w:p>
    <w:p w:rsidR="00942F77" w:rsidRPr="003F590E" w:rsidRDefault="00942F77" w:rsidP="00942F77">
      <w:pPr>
        <w:contextualSpacing/>
        <w:rPr>
          <w:rFonts w:ascii="Garamond" w:hAnsi="Garamond"/>
          <w:b/>
          <w:color w:val="000000"/>
          <w:sz w:val="20"/>
          <w:szCs w:val="18"/>
        </w:rPr>
      </w:pPr>
    </w:p>
    <w:p w:rsidR="00942F77" w:rsidRPr="00B32BB3" w:rsidRDefault="00942F77" w:rsidP="00446DBB">
      <w:pPr>
        <w:tabs>
          <w:tab w:val="left" w:pos="5040"/>
        </w:tabs>
        <w:contextualSpacing/>
        <w:rPr>
          <w:rFonts w:ascii="Garamond" w:hAnsi="Garamond"/>
          <w:b/>
          <w:color w:val="000000"/>
          <w:szCs w:val="18"/>
        </w:rPr>
      </w:pPr>
      <w:r w:rsidRPr="00B32BB3">
        <w:rPr>
          <w:rFonts w:ascii="Garamond" w:hAnsi="Garamond"/>
          <w:b/>
          <w:color w:val="000000"/>
          <w:szCs w:val="18"/>
        </w:rPr>
        <w:t xml:space="preserve">Qualifications/Expertise of the Applicant </w:t>
      </w:r>
      <w:r w:rsidRPr="00B32BB3">
        <w:rPr>
          <w:rFonts w:ascii="Garamond" w:hAnsi="Garamond"/>
          <w:b/>
          <w:color w:val="000000"/>
          <w:szCs w:val="18"/>
        </w:rPr>
        <w:tab/>
      </w:r>
      <w:r w:rsidRPr="00B32BB3">
        <w:rPr>
          <w:rFonts w:ascii="Garamond" w:hAnsi="Garamond"/>
          <w:b/>
          <w:color w:val="000090"/>
          <w:szCs w:val="18"/>
        </w:rPr>
        <w:t xml:space="preserve">Score =  </w:t>
      </w:r>
      <w:r w:rsidRPr="00B32BB3">
        <w:rPr>
          <w:rFonts w:ascii="Garamond" w:hAnsi="Garamond"/>
          <w:b/>
          <w:color w:val="000090"/>
          <w:szCs w:val="18"/>
          <w:bdr w:val="single" w:sz="4" w:space="0" w:color="auto"/>
          <w:shd w:val="clear" w:color="auto" w:fill="E0E0E0"/>
        </w:rPr>
        <w:t xml:space="preserve">            </w:t>
      </w:r>
      <w:r w:rsidRPr="00B32BB3">
        <w:rPr>
          <w:rFonts w:ascii="Garamond" w:hAnsi="Garamond"/>
          <w:b/>
          <w:color w:val="000090"/>
          <w:szCs w:val="18"/>
        </w:rPr>
        <w:t xml:space="preserve">  (max </w:t>
      </w:r>
      <w:r w:rsidR="00446DBB" w:rsidRPr="00B32BB3">
        <w:rPr>
          <w:rFonts w:ascii="Garamond" w:hAnsi="Garamond"/>
          <w:b/>
          <w:color w:val="000090"/>
          <w:szCs w:val="18"/>
        </w:rPr>
        <w:t xml:space="preserve">21 </w:t>
      </w:r>
      <w:r w:rsidRPr="00B32BB3">
        <w:rPr>
          <w:rFonts w:ascii="Garamond" w:hAnsi="Garamond"/>
          <w:b/>
          <w:color w:val="000090"/>
          <w:szCs w:val="18"/>
        </w:rPr>
        <w:t>pts)</w:t>
      </w:r>
    </w:p>
    <w:p w:rsidR="00942F77" w:rsidRPr="003F590E" w:rsidRDefault="00942F77" w:rsidP="00942F77">
      <w:pPr>
        <w:tabs>
          <w:tab w:val="left" w:pos="4500"/>
        </w:tabs>
        <w:contextualSpacing/>
        <w:rPr>
          <w:rFonts w:ascii="Garamond" w:hAnsi="Garamond"/>
          <w:b/>
          <w:color w:val="000000"/>
          <w:sz w:val="16"/>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447"/>
        <w:gridCol w:w="447"/>
        <w:gridCol w:w="446"/>
        <w:gridCol w:w="460"/>
        <w:gridCol w:w="460"/>
        <w:gridCol w:w="460"/>
        <w:gridCol w:w="460"/>
        <w:gridCol w:w="472"/>
      </w:tblGrid>
      <w:tr w:rsidR="00942F77" w:rsidRPr="003F590E">
        <w:tc>
          <w:tcPr>
            <w:tcW w:w="5204" w:type="dxa"/>
          </w:tcPr>
          <w:p w:rsidR="00942F77" w:rsidRPr="003F590E" w:rsidRDefault="00942F77" w:rsidP="002E0F1E">
            <w:pPr>
              <w:rPr>
                <w:rFonts w:ascii="Garamond" w:hAnsi="Garamond"/>
                <w:color w:val="000000"/>
                <w:sz w:val="20"/>
                <w:szCs w:val="18"/>
              </w:rPr>
            </w:pPr>
            <w:r>
              <w:rPr>
                <w:rFonts w:ascii="Garamond" w:hAnsi="Garamond"/>
                <w:sz w:val="20"/>
                <w:szCs w:val="18"/>
              </w:rPr>
              <w:t>Scholarly</w:t>
            </w:r>
            <w:r w:rsidR="00854936">
              <w:rPr>
                <w:rFonts w:ascii="Garamond" w:hAnsi="Garamond"/>
                <w:color w:val="000000"/>
                <w:sz w:val="20"/>
                <w:szCs w:val="18"/>
              </w:rPr>
              <w:t>/</w:t>
            </w:r>
            <w:r>
              <w:rPr>
                <w:rFonts w:ascii="Garamond" w:hAnsi="Garamond"/>
                <w:color w:val="000000"/>
                <w:sz w:val="20"/>
                <w:szCs w:val="18"/>
              </w:rPr>
              <w:t>creative/professional</w:t>
            </w:r>
            <w:r>
              <w:rPr>
                <w:rFonts w:ascii="Garamond" w:hAnsi="Garamond"/>
                <w:sz w:val="20"/>
                <w:szCs w:val="18"/>
              </w:rPr>
              <w:t xml:space="preserve"> q</w:t>
            </w:r>
            <w:r w:rsidRPr="003F590E">
              <w:rPr>
                <w:rFonts w:ascii="Garamond" w:hAnsi="Garamond"/>
                <w:sz w:val="20"/>
                <w:szCs w:val="18"/>
              </w:rPr>
              <w:t xml:space="preserve">ualifications of the applicant </w:t>
            </w:r>
            <w:r>
              <w:rPr>
                <w:rFonts w:ascii="Garamond" w:hAnsi="Garamond"/>
                <w:sz w:val="20"/>
                <w:szCs w:val="18"/>
              </w:rPr>
              <w:t>to conduct</w:t>
            </w:r>
            <w:r w:rsidRPr="003F590E">
              <w:rPr>
                <w:rFonts w:ascii="Garamond" w:hAnsi="Garamond"/>
                <w:sz w:val="20"/>
                <w:szCs w:val="18"/>
              </w:rPr>
              <w:t xml:space="preserve"> </w:t>
            </w:r>
            <w:r>
              <w:rPr>
                <w:rFonts w:ascii="Garamond" w:hAnsi="Garamond"/>
                <w:sz w:val="20"/>
                <w:szCs w:val="18"/>
              </w:rPr>
              <w:t>the proposed work</w:t>
            </w:r>
          </w:p>
        </w:tc>
        <w:tc>
          <w:tcPr>
            <w:tcW w:w="447"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47"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4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2"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942F77" w:rsidRPr="003F590E">
        <w:trPr>
          <w:trHeight w:val="773"/>
        </w:trPr>
        <w:tc>
          <w:tcPr>
            <w:tcW w:w="5204" w:type="dxa"/>
          </w:tcPr>
          <w:p w:rsidR="00942F77" w:rsidRPr="003F590E" w:rsidRDefault="0068209B" w:rsidP="0068209B">
            <w:pPr>
              <w:rPr>
                <w:rFonts w:ascii="Garamond" w:hAnsi="Garamond"/>
                <w:color w:val="000000"/>
                <w:sz w:val="20"/>
                <w:szCs w:val="18"/>
              </w:rPr>
            </w:pPr>
            <w:r>
              <w:rPr>
                <w:rFonts w:ascii="Garamond" w:hAnsi="Garamond"/>
                <w:color w:val="000000"/>
                <w:sz w:val="20"/>
                <w:szCs w:val="18"/>
              </w:rPr>
              <w:t>Overall body of</w:t>
            </w:r>
            <w:r w:rsidRPr="003F590E">
              <w:rPr>
                <w:rFonts w:ascii="Garamond" w:hAnsi="Garamond"/>
                <w:color w:val="000000"/>
                <w:sz w:val="20"/>
                <w:szCs w:val="18"/>
              </w:rPr>
              <w:t xml:space="preserve"> scholarly/creative/professional outcomes within the co</w:t>
            </w:r>
            <w:r>
              <w:rPr>
                <w:rFonts w:ascii="Garamond" w:hAnsi="Garamond"/>
                <w:color w:val="000000"/>
                <w:sz w:val="20"/>
                <w:szCs w:val="18"/>
              </w:rPr>
              <w:t>ntext of the applicant</w:t>
            </w:r>
            <w:r w:rsidR="00FE61E0">
              <w:rPr>
                <w:rFonts w:ascii="Garamond" w:hAnsi="Garamond"/>
                <w:color w:val="000000"/>
                <w:sz w:val="20"/>
                <w:szCs w:val="18"/>
              </w:rPr>
              <w:t>’</w:t>
            </w:r>
            <w:r>
              <w:rPr>
                <w:rFonts w:ascii="Garamond" w:hAnsi="Garamond"/>
                <w:color w:val="000000"/>
                <w:sz w:val="20"/>
                <w:szCs w:val="18"/>
              </w:rPr>
              <w:t>s</w:t>
            </w:r>
            <w:r w:rsidRPr="003F590E">
              <w:rPr>
                <w:rFonts w:ascii="Garamond" w:hAnsi="Garamond"/>
                <w:color w:val="000000"/>
                <w:sz w:val="20"/>
                <w:szCs w:val="18"/>
              </w:rPr>
              <w:t xml:space="preserve"> program (</w:t>
            </w:r>
            <w:r w:rsidR="00355596">
              <w:rPr>
                <w:rFonts w:ascii="Garamond" w:hAnsi="Garamond"/>
                <w:color w:val="000000"/>
                <w:sz w:val="20"/>
                <w:szCs w:val="18"/>
              </w:rPr>
              <w:t xml:space="preserve">taking into consideration the </w:t>
            </w:r>
            <w:r w:rsidRPr="003F590E">
              <w:rPr>
                <w:rFonts w:ascii="Garamond" w:hAnsi="Garamond"/>
                <w:color w:val="000000"/>
                <w:sz w:val="20"/>
                <w:szCs w:val="18"/>
              </w:rPr>
              <w:t>applicant</w:t>
            </w:r>
            <w:r w:rsidR="00FE61E0">
              <w:rPr>
                <w:rFonts w:ascii="Garamond" w:hAnsi="Garamond"/>
                <w:color w:val="000000"/>
                <w:sz w:val="20"/>
                <w:szCs w:val="18"/>
              </w:rPr>
              <w:t>’</w:t>
            </w:r>
            <w:r w:rsidRPr="003F590E">
              <w:rPr>
                <w:rFonts w:ascii="Garamond" w:hAnsi="Garamond"/>
                <w:color w:val="000000"/>
                <w:sz w:val="20"/>
                <w:szCs w:val="18"/>
              </w:rPr>
              <w:t>s career stag</w:t>
            </w:r>
            <w:r>
              <w:rPr>
                <w:rFonts w:ascii="Garamond" w:hAnsi="Garamond"/>
                <w:color w:val="000000"/>
                <w:sz w:val="20"/>
                <w:szCs w:val="18"/>
              </w:rPr>
              <w:t xml:space="preserve">e) </w:t>
            </w:r>
          </w:p>
        </w:tc>
        <w:tc>
          <w:tcPr>
            <w:tcW w:w="447"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0</w:t>
            </w:r>
          </w:p>
        </w:tc>
        <w:tc>
          <w:tcPr>
            <w:tcW w:w="447"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1</w:t>
            </w:r>
          </w:p>
        </w:tc>
        <w:tc>
          <w:tcPr>
            <w:tcW w:w="446"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2</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3</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4</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5</w:t>
            </w:r>
          </w:p>
        </w:tc>
        <w:tc>
          <w:tcPr>
            <w:tcW w:w="460"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6</w:t>
            </w:r>
          </w:p>
        </w:tc>
        <w:tc>
          <w:tcPr>
            <w:tcW w:w="472" w:type="dxa"/>
          </w:tcPr>
          <w:p w:rsidR="00942F77" w:rsidRPr="003F590E" w:rsidRDefault="00942F77" w:rsidP="002E0F1E">
            <w:pPr>
              <w:rPr>
                <w:rFonts w:ascii="Garamond" w:hAnsi="Garamond"/>
                <w:color w:val="000000"/>
                <w:sz w:val="20"/>
                <w:szCs w:val="18"/>
              </w:rPr>
            </w:pPr>
            <w:r w:rsidRPr="003F590E">
              <w:rPr>
                <w:rFonts w:ascii="Garamond" w:hAnsi="Garamond"/>
                <w:color w:val="000000"/>
                <w:sz w:val="20"/>
                <w:szCs w:val="18"/>
              </w:rPr>
              <w:t>7</w:t>
            </w:r>
          </w:p>
        </w:tc>
      </w:tr>
      <w:tr w:rsidR="00446DBB" w:rsidRPr="003F590E">
        <w:trPr>
          <w:trHeight w:val="773"/>
        </w:trPr>
        <w:tc>
          <w:tcPr>
            <w:tcW w:w="5204" w:type="dxa"/>
          </w:tcPr>
          <w:p w:rsidR="00446DBB" w:rsidRPr="003F590E" w:rsidRDefault="0068209B" w:rsidP="00CD7C12">
            <w:pPr>
              <w:rPr>
                <w:rFonts w:ascii="Garamond" w:hAnsi="Garamond"/>
                <w:color w:val="000000"/>
                <w:sz w:val="20"/>
                <w:szCs w:val="18"/>
              </w:rPr>
            </w:pPr>
            <w:r>
              <w:rPr>
                <w:rFonts w:ascii="Garamond" w:hAnsi="Garamond"/>
                <w:color w:val="000000"/>
                <w:sz w:val="20"/>
                <w:szCs w:val="18"/>
              </w:rPr>
              <w:t>Recent</w:t>
            </w:r>
            <w:r w:rsidRPr="003F590E">
              <w:rPr>
                <w:rFonts w:ascii="Garamond" w:hAnsi="Garamond"/>
                <w:color w:val="000000"/>
                <w:sz w:val="20"/>
                <w:szCs w:val="18"/>
              </w:rPr>
              <w:t xml:space="preserve"> scholarly/creative/professional outcomes</w:t>
            </w:r>
            <w:r w:rsidR="00CD7C12">
              <w:rPr>
                <w:rFonts w:ascii="Garamond" w:hAnsi="Garamond"/>
                <w:color w:val="000000"/>
                <w:sz w:val="20"/>
                <w:szCs w:val="18"/>
              </w:rPr>
              <w:t xml:space="preserve"> within the past 2-4 years</w:t>
            </w:r>
            <w:r w:rsidRPr="003F590E">
              <w:rPr>
                <w:rFonts w:ascii="Garamond" w:hAnsi="Garamond"/>
                <w:color w:val="000000"/>
                <w:sz w:val="20"/>
                <w:szCs w:val="18"/>
              </w:rPr>
              <w:t xml:space="preserve"> (</w:t>
            </w:r>
            <w:r w:rsidR="00355596">
              <w:rPr>
                <w:rFonts w:ascii="Garamond" w:hAnsi="Garamond"/>
                <w:color w:val="000000"/>
                <w:sz w:val="20"/>
                <w:szCs w:val="18"/>
              </w:rPr>
              <w:t>taking into consideration the applicant</w:t>
            </w:r>
            <w:r w:rsidR="00FE61E0">
              <w:rPr>
                <w:rFonts w:ascii="Garamond" w:hAnsi="Garamond"/>
                <w:color w:val="000000"/>
                <w:sz w:val="20"/>
                <w:szCs w:val="18"/>
              </w:rPr>
              <w:t>’</w:t>
            </w:r>
            <w:r w:rsidR="00355596">
              <w:rPr>
                <w:rFonts w:ascii="Garamond" w:hAnsi="Garamond"/>
                <w:color w:val="000000"/>
                <w:sz w:val="20"/>
                <w:szCs w:val="18"/>
              </w:rPr>
              <w:t>s service obligations and</w:t>
            </w:r>
            <w:r>
              <w:rPr>
                <w:rFonts w:ascii="Garamond" w:hAnsi="Garamond"/>
                <w:color w:val="000000"/>
                <w:sz w:val="20"/>
                <w:szCs w:val="18"/>
              </w:rPr>
              <w:t xml:space="preserve"> any past SOSA awards</w:t>
            </w:r>
            <w:r w:rsidRPr="003F590E">
              <w:rPr>
                <w:rFonts w:ascii="Garamond" w:hAnsi="Garamond"/>
                <w:color w:val="000000"/>
                <w:sz w:val="20"/>
                <w:szCs w:val="18"/>
              </w:rPr>
              <w:t>)</w:t>
            </w:r>
          </w:p>
        </w:tc>
        <w:tc>
          <w:tcPr>
            <w:tcW w:w="447"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0</w:t>
            </w:r>
          </w:p>
        </w:tc>
        <w:tc>
          <w:tcPr>
            <w:tcW w:w="447"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1</w:t>
            </w:r>
          </w:p>
        </w:tc>
        <w:tc>
          <w:tcPr>
            <w:tcW w:w="446"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2</w:t>
            </w:r>
          </w:p>
        </w:tc>
        <w:tc>
          <w:tcPr>
            <w:tcW w:w="460"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3</w:t>
            </w:r>
          </w:p>
        </w:tc>
        <w:tc>
          <w:tcPr>
            <w:tcW w:w="460"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4</w:t>
            </w:r>
          </w:p>
        </w:tc>
        <w:tc>
          <w:tcPr>
            <w:tcW w:w="460"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5</w:t>
            </w:r>
          </w:p>
        </w:tc>
        <w:tc>
          <w:tcPr>
            <w:tcW w:w="460"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6</w:t>
            </w:r>
          </w:p>
        </w:tc>
        <w:tc>
          <w:tcPr>
            <w:tcW w:w="472" w:type="dxa"/>
          </w:tcPr>
          <w:p w:rsidR="00446DBB" w:rsidRPr="003F590E" w:rsidRDefault="00446DBB" w:rsidP="002E0F1E">
            <w:pPr>
              <w:rPr>
                <w:rFonts w:ascii="Garamond" w:hAnsi="Garamond"/>
                <w:color w:val="000000"/>
                <w:sz w:val="20"/>
                <w:szCs w:val="18"/>
              </w:rPr>
            </w:pPr>
            <w:r w:rsidRPr="003F590E">
              <w:rPr>
                <w:rFonts w:ascii="Garamond" w:hAnsi="Garamond"/>
                <w:color w:val="000000"/>
                <w:sz w:val="20"/>
                <w:szCs w:val="18"/>
              </w:rPr>
              <w:t>7</w:t>
            </w:r>
          </w:p>
        </w:tc>
      </w:tr>
    </w:tbl>
    <w:p w:rsidR="00942F77" w:rsidRDefault="00942F77" w:rsidP="00942F77">
      <w:pPr>
        <w:tabs>
          <w:tab w:val="left" w:pos="360"/>
        </w:tabs>
        <w:rPr>
          <w:rFonts w:ascii="Garamond" w:hAnsi="Garamond"/>
          <w:b/>
          <w:color w:val="000000"/>
          <w:sz w:val="20"/>
          <w:szCs w:val="18"/>
        </w:rPr>
      </w:pPr>
    </w:p>
    <w:p w:rsidR="001A6C8B" w:rsidRDefault="001A6C8B" w:rsidP="00942F77">
      <w:pPr>
        <w:tabs>
          <w:tab w:val="left" w:pos="360"/>
          <w:tab w:val="left" w:pos="5040"/>
        </w:tabs>
        <w:rPr>
          <w:rFonts w:ascii="Garamond" w:hAnsi="Garamond"/>
          <w:b/>
          <w:color w:val="000000"/>
          <w:sz w:val="22"/>
          <w:szCs w:val="18"/>
        </w:rPr>
      </w:pPr>
    </w:p>
    <w:p w:rsidR="002C6CB5" w:rsidRPr="00D029A4" w:rsidRDefault="00B32BB3" w:rsidP="00B32BB3">
      <w:pPr>
        <w:tabs>
          <w:tab w:val="right" w:pos="9180"/>
        </w:tabs>
        <w:rPr>
          <w:rFonts w:ascii="Garamond" w:hAnsi="Garamond"/>
          <w:b/>
          <w:color w:val="0000FF"/>
          <w:szCs w:val="18"/>
        </w:rPr>
      </w:pPr>
      <w:r w:rsidRPr="00D029A4">
        <w:rPr>
          <w:rFonts w:ascii="Garamond" w:hAnsi="Garamond"/>
          <w:b/>
          <w:color w:val="0000FF"/>
        </w:rPr>
        <w:tab/>
      </w:r>
      <w:r w:rsidR="002C6CB5" w:rsidRPr="00D029A4">
        <w:rPr>
          <w:rFonts w:ascii="Garamond" w:hAnsi="Garamond"/>
          <w:b/>
          <w:color w:val="0000FF"/>
        </w:rPr>
        <w:t xml:space="preserve">Total Score </w:t>
      </w:r>
      <w:r w:rsidR="002C6CB5" w:rsidRPr="00D029A4">
        <w:rPr>
          <w:rFonts w:ascii="Garamond" w:hAnsi="Garamond"/>
          <w:color w:val="0000FF"/>
          <w:sz w:val="20"/>
        </w:rPr>
        <w:t xml:space="preserve">(Intellectual Merit </w:t>
      </w:r>
      <w:r w:rsidR="00B237E8">
        <w:rPr>
          <w:rFonts w:ascii="Garamond" w:hAnsi="Garamond"/>
          <w:color w:val="0000FF"/>
          <w:sz w:val="20"/>
        </w:rPr>
        <w:t>+</w:t>
      </w:r>
      <w:r w:rsidR="00B237E8" w:rsidRPr="00D029A4">
        <w:rPr>
          <w:rFonts w:ascii="Garamond" w:hAnsi="Garamond"/>
          <w:color w:val="0000FF"/>
          <w:sz w:val="20"/>
        </w:rPr>
        <w:t xml:space="preserve"> </w:t>
      </w:r>
      <w:r w:rsidR="002C6CB5" w:rsidRPr="00D029A4">
        <w:rPr>
          <w:rFonts w:ascii="Garamond" w:hAnsi="Garamond"/>
          <w:color w:val="0000FF"/>
          <w:sz w:val="20"/>
        </w:rPr>
        <w:t>Qualifications</w:t>
      </w:r>
      <w:r w:rsidRPr="00D029A4">
        <w:rPr>
          <w:rFonts w:ascii="Garamond" w:hAnsi="Garamond"/>
          <w:color w:val="0000FF"/>
          <w:sz w:val="20"/>
        </w:rPr>
        <w:t>/Expertise</w:t>
      </w:r>
      <w:r w:rsidR="002C6CB5" w:rsidRPr="00D029A4">
        <w:rPr>
          <w:rFonts w:ascii="Garamond" w:hAnsi="Garamond"/>
          <w:color w:val="0000FF"/>
          <w:sz w:val="20"/>
        </w:rPr>
        <w:t>)</w:t>
      </w:r>
      <w:r w:rsidR="002C6CB5" w:rsidRPr="00D029A4">
        <w:rPr>
          <w:rFonts w:ascii="Garamond" w:hAnsi="Garamond"/>
          <w:b/>
          <w:color w:val="0000FF"/>
          <w:szCs w:val="18"/>
        </w:rPr>
        <w:t xml:space="preserve"> =  </w:t>
      </w:r>
      <w:r w:rsidR="002C6CB5" w:rsidRPr="00D029A4">
        <w:rPr>
          <w:rFonts w:ascii="Garamond" w:hAnsi="Garamond"/>
          <w:b/>
          <w:color w:val="0000FF"/>
          <w:szCs w:val="18"/>
          <w:bdr w:val="single" w:sz="4" w:space="0" w:color="auto"/>
          <w:shd w:val="clear" w:color="auto" w:fill="E0E0E0"/>
        </w:rPr>
        <w:t xml:space="preserve">            </w:t>
      </w:r>
      <w:r w:rsidR="002C6CB5" w:rsidRPr="00D029A4">
        <w:rPr>
          <w:rFonts w:ascii="Garamond" w:hAnsi="Garamond"/>
          <w:b/>
          <w:color w:val="0000FF"/>
          <w:szCs w:val="18"/>
        </w:rPr>
        <w:t xml:space="preserve">  (max 63 pts)</w:t>
      </w:r>
    </w:p>
    <w:p w:rsidR="002C6CB5" w:rsidRDefault="002C6CB5" w:rsidP="00942F77">
      <w:pPr>
        <w:tabs>
          <w:tab w:val="left" w:pos="360"/>
          <w:tab w:val="left" w:pos="5040"/>
        </w:tabs>
        <w:rPr>
          <w:rFonts w:ascii="Garamond" w:hAnsi="Garamond"/>
          <w:b/>
          <w:color w:val="000000"/>
          <w:sz w:val="22"/>
          <w:szCs w:val="18"/>
        </w:rPr>
      </w:pPr>
      <w:r>
        <w:rPr>
          <w:rFonts w:ascii="Garamond" w:hAnsi="Garamond"/>
          <w:b/>
          <w:color w:val="000000"/>
          <w:sz w:val="22"/>
          <w:szCs w:val="18"/>
        </w:rPr>
        <w:br/>
      </w:r>
    </w:p>
    <w:p w:rsidR="00942F77" w:rsidRPr="00B32BB3" w:rsidRDefault="00942F77" w:rsidP="00942F77">
      <w:pPr>
        <w:tabs>
          <w:tab w:val="left" w:pos="360"/>
          <w:tab w:val="left" w:pos="5040"/>
        </w:tabs>
        <w:rPr>
          <w:rFonts w:ascii="Garamond" w:hAnsi="Garamond"/>
          <w:b/>
          <w:color w:val="000000"/>
          <w:szCs w:val="18"/>
        </w:rPr>
      </w:pPr>
      <w:r w:rsidRPr="00B32BB3">
        <w:rPr>
          <w:rFonts w:ascii="Garamond" w:hAnsi="Garamond"/>
          <w:b/>
          <w:color w:val="000000"/>
          <w:szCs w:val="18"/>
        </w:rPr>
        <w:t>Broader Impacts for the Applicant and TCNJ</w:t>
      </w:r>
      <w:r w:rsidRPr="00B32BB3">
        <w:rPr>
          <w:rFonts w:ascii="Garamond" w:hAnsi="Garamond"/>
          <w:b/>
          <w:color w:val="000000"/>
          <w:szCs w:val="18"/>
        </w:rPr>
        <w:tab/>
      </w:r>
      <w:r w:rsidRPr="00B32BB3">
        <w:rPr>
          <w:rFonts w:ascii="Garamond" w:hAnsi="Garamond"/>
          <w:b/>
          <w:color w:val="000090"/>
          <w:szCs w:val="18"/>
        </w:rPr>
        <w:t xml:space="preserve">Score =  </w:t>
      </w:r>
      <w:r w:rsidRPr="00B32BB3">
        <w:rPr>
          <w:rFonts w:ascii="Garamond" w:hAnsi="Garamond"/>
          <w:b/>
          <w:color w:val="000090"/>
          <w:szCs w:val="18"/>
          <w:bdr w:val="single" w:sz="4" w:space="0" w:color="auto"/>
          <w:shd w:val="clear" w:color="auto" w:fill="E0E0E0"/>
        </w:rPr>
        <w:t xml:space="preserve">            </w:t>
      </w:r>
      <w:r w:rsidRPr="00B32BB3">
        <w:rPr>
          <w:rFonts w:ascii="Garamond" w:hAnsi="Garamond"/>
          <w:b/>
          <w:color w:val="000090"/>
          <w:szCs w:val="18"/>
        </w:rPr>
        <w:t xml:space="preserve">  (max </w:t>
      </w:r>
      <w:r w:rsidR="00B237E8">
        <w:rPr>
          <w:rFonts w:ascii="Garamond" w:hAnsi="Garamond"/>
          <w:b/>
          <w:color w:val="000090"/>
          <w:szCs w:val="18"/>
        </w:rPr>
        <w:t>2</w:t>
      </w:r>
      <w:r w:rsidR="00B237E8" w:rsidRPr="00B32BB3">
        <w:rPr>
          <w:rFonts w:ascii="Garamond" w:hAnsi="Garamond"/>
          <w:b/>
          <w:color w:val="000090"/>
          <w:szCs w:val="18"/>
        </w:rPr>
        <w:t xml:space="preserve"> </w:t>
      </w:r>
      <w:r w:rsidRPr="00B32BB3">
        <w:rPr>
          <w:rFonts w:ascii="Garamond" w:hAnsi="Garamond"/>
          <w:b/>
          <w:color w:val="000090"/>
          <w:szCs w:val="18"/>
        </w:rPr>
        <w:t>pts)</w:t>
      </w:r>
      <w:r w:rsidRPr="00B32BB3">
        <w:rPr>
          <w:rFonts w:ascii="Garamond" w:hAnsi="Garamond"/>
          <w:b/>
          <w:color w:val="000000"/>
          <w:szCs w:val="18"/>
        </w:rPr>
        <w:t xml:space="preserve"> </w:t>
      </w:r>
    </w:p>
    <w:p w:rsidR="00942F77" w:rsidRPr="003F590E" w:rsidRDefault="00942F77" w:rsidP="00854936">
      <w:pPr>
        <w:tabs>
          <w:tab w:val="left" w:pos="360"/>
        </w:tabs>
        <w:rPr>
          <w:rFonts w:ascii="Garamond" w:hAnsi="Garamond"/>
          <w:color w:val="000000"/>
          <w:sz w:val="16"/>
          <w:szCs w:val="18"/>
        </w:rPr>
      </w:pPr>
      <w:r w:rsidRPr="003F590E">
        <w:rPr>
          <w:rFonts w:ascii="Garamond" w:hAnsi="Garamond"/>
          <w:b/>
          <w:color w:val="000000"/>
          <w:sz w:val="16"/>
          <w:szCs w:val="18"/>
        </w:rPr>
        <w:tab/>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720"/>
        <w:gridCol w:w="540"/>
      </w:tblGrid>
      <w:tr w:rsidR="00942F77" w:rsidRPr="003F590E">
        <w:trPr>
          <w:trHeight w:val="530"/>
        </w:trPr>
        <w:tc>
          <w:tcPr>
            <w:tcW w:w="6678" w:type="dxa"/>
          </w:tcPr>
          <w:p w:rsidR="00854936" w:rsidRPr="00854936" w:rsidRDefault="00854936" w:rsidP="00854936">
            <w:pPr>
              <w:rPr>
                <w:rFonts w:ascii="Garamond" w:hAnsi="Garamond"/>
                <w:color w:val="000000"/>
                <w:sz w:val="20"/>
                <w:szCs w:val="18"/>
              </w:rPr>
            </w:pPr>
            <w:r w:rsidRPr="003F590E">
              <w:rPr>
                <w:rFonts w:ascii="Garamond" w:hAnsi="Garamond"/>
                <w:color w:val="000000"/>
                <w:sz w:val="20"/>
                <w:szCs w:val="18"/>
              </w:rPr>
              <w:t>Applicant is pre-tenure</w:t>
            </w:r>
            <w:r>
              <w:rPr>
                <w:rFonts w:ascii="Garamond" w:hAnsi="Garamond"/>
                <w:color w:val="000000"/>
                <w:sz w:val="20"/>
                <w:szCs w:val="18"/>
              </w:rPr>
              <w:t xml:space="preserve">  </w:t>
            </w:r>
            <w:r w:rsidR="00280ADD" w:rsidRPr="00280ADD">
              <w:rPr>
                <w:rFonts w:ascii="Garamond" w:hAnsi="Garamond"/>
                <w:i/>
                <w:color w:val="000000"/>
                <w:sz w:val="20"/>
                <w:szCs w:val="18"/>
              </w:rPr>
              <w:t>or</w:t>
            </w:r>
          </w:p>
          <w:p w:rsidR="00942F77" w:rsidRPr="003F590E" w:rsidRDefault="00942F77" w:rsidP="00854936">
            <w:pPr>
              <w:rPr>
                <w:rFonts w:ascii="Garamond" w:hAnsi="Garamond"/>
                <w:color w:val="000000"/>
                <w:sz w:val="20"/>
                <w:szCs w:val="18"/>
              </w:rPr>
            </w:pPr>
            <w:r w:rsidRPr="003F590E">
              <w:rPr>
                <w:rFonts w:ascii="Garamond" w:hAnsi="Garamond"/>
                <w:sz w:val="20"/>
                <w:szCs w:val="18"/>
              </w:rPr>
              <w:t>Applicant is re-engaging in scholarship/creative</w:t>
            </w:r>
            <w:r>
              <w:rPr>
                <w:rFonts w:ascii="Garamond" w:hAnsi="Garamond"/>
                <w:sz w:val="20"/>
                <w:szCs w:val="18"/>
              </w:rPr>
              <w:t>/professional</w:t>
            </w:r>
            <w:r w:rsidRPr="003F590E">
              <w:rPr>
                <w:rFonts w:ascii="Garamond" w:hAnsi="Garamond"/>
                <w:sz w:val="20"/>
                <w:szCs w:val="18"/>
              </w:rPr>
              <w:t xml:space="preserve"> activity</w:t>
            </w:r>
          </w:p>
        </w:tc>
        <w:tc>
          <w:tcPr>
            <w:tcW w:w="720" w:type="dxa"/>
          </w:tcPr>
          <w:p w:rsidR="00AA14A3" w:rsidRDefault="00942F77">
            <w:pPr>
              <w:jc w:val="center"/>
              <w:rPr>
                <w:rFonts w:ascii="Garamond" w:hAnsi="Garamond"/>
                <w:color w:val="000000"/>
                <w:sz w:val="20"/>
                <w:szCs w:val="18"/>
              </w:rPr>
            </w:pPr>
            <w:r w:rsidRPr="003F590E">
              <w:rPr>
                <w:rFonts w:ascii="Garamond" w:hAnsi="Garamond"/>
                <w:color w:val="000000"/>
                <w:sz w:val="20"/>
                <w:szCs w:val="18"/>
              </w:rPr>
              <w:t>Y</w:t>
            </w:r>
          </w:p>
          <w:p w:rsidR="00AA14A3" w:rsidRDefault="00854936" w:rsidP="00B237E8">
            <w:pPr>
              <w:jc w:val="center"/>
              <w:rPr>
                <w:rFonts w:ascii="Garamond" w:hAnsi="Garamond"/>
                <w:color w:val="000000"/>
                <w:sz w:val="20"/>
                <w:szCs w:val="18"/>
              </w:rPr>
            </w:pPr>
            <w:r>
              <w:rPr>
                <w:rFonts w:ascii="Garamond" w:hAnsi="Garamond"/>
                <w:color w:val="000000"/>
                <w:sz w:val="20"/>
                <w:szCs w:val="18"/>
              </w:rPr>
              <w:t>(</w:t>
            </w:r>
            <w:r w:rsidR="00B237E8">
              <w:rPr>
                <w:rFonts w:ascii="Garamond" w:hAnsi="Garamond"/>
                <w:color w:val="000000"/>
                <w:sz w:val="20"/>
                <w:szCs w:val="18"/>
              </w:rPr>
              <w:t xml:space="preserve">2 </w:t>
            </w:r>
            <w:r>
              <w:rPr>
                <w:rFonts w:ascii="Garamond" w:hAnsi="Garamond"/>
                <w:color w:val="000000"/>
                <w:sz w:val="20"/>
                <w:szCs w:val="18"/>
              </w:rPr>
              <w:t>pts)</w:t>
            </w:r>
          </w:p>
        </w:tc>
        <w:tc>
          <w:tcPr>
            <w:tcW w:w="540" w:type="dxa"/>
          </w:tcPr>
          <w:p w:rsidR="00942F77" w:rsidRPr="003F590E" w:rsidRDefault="00942F77" w:rsidP="00854936">
            <w:pPr>
              <w:rPr>
                <w:rFonts w:ascii="Garamond" w:hAnsi="Garamond"/>
                <w:color w:val="000000"/>
                <w:sz w:val="20"/>
                <w:szCs w:val="18"/>
              </w:rPr>
            </w:pPr>
            <w:r w:rsidRPr="003F590E">
              <w:rPr>
                <w:rFonts w:ascii="Garamond" w:hAnsi="Garamond"/>
                <w:color w:val="000000"/>
                <w:sz w:val="20"/>
                <w:szCs w:val="18"/>
              </w:rPr>
              <w:t>N</w:t>
            </w:r>
          </w:p>
        </w:tc>
      </w:tr>
    </w:tbl>
    <w:p w:rsidR="00942F77" w:rsidRPr="00C0279C" w:rsidRDefault="00942F77" w:rsidP="00942F77">
      <w:pPr>
        <w:jc w:val="both"/>
        <w:rPr>
          <w:rFonts w:ascii="Garamond" w:hAnsi="Garamond"/>
          <w:sz w:val="22"/>
        </w:rPr>
      </w:pPr>
    </w:p>
    <w:p w:rsidR="001A6C8B" w:rsidRDefault="001A6C8B">
      <w:pPr>
        <w:tabs>
          <w:tab w:val="left" w:pos="7830"/>
        </w:tabs>
        <w:rPr>
          <w:rFonts w:ascii="Garamond" w:hAnsi="Garamond"/>
          <w:sz w:val="22"/>
        </w:rPr>
      </w:pPr>
    </w:p>
    <w:p w:rsidR="001A6C8B" w:rsidRDefault="001A6C8B">
      <w:pPr>
        <w:tabs>
          <w:tab w:val="left" w:pos="7830"/>
        </w:tabs>
        <w:rPr>
          <w:rFonts w:ascii="Garamond" w:hAnsi="Garamond"/>
          <w:sz w:val="22"/>
        </w:rPr>
      </w:pPr>
    </w:p>
    <w:p w:rsidR="00B32BB3" w:rsidRDefault="00B32BB3" w:rsidP="00B32BB3">
      <w:pPr>
        <w:tabs>
          <w:tab w:val="right" w:pos="9180"/>
        </w:tabs>
        <w:rPr>
          <w:rFonts w:ascii="Garamond" w:hAnsi="Garamond"/>
          <w:b/>
          <w:color w:val="000090"/>
          <w:sz w:val="22"/>
          <w:szCs w:val="18"/>
        </w:rPr>
      </w:pPr>
      <w:r>
        <w:rPr>
          <w:rFonts w:ascii="Garamond" w:hAnsi="Garamond"/>
          <w:b/>
          <w:color w:val="000090"/>
          <w:sz w:val="22"/>
          <w:szCs w:val="18"/>
        </w:rPr>
        <w:tab/>
      </w:r>
    </w:p>
    <w:p w:rsidR="006E16BC" w:rsidRDefault="00B32BB3" w:rsidP="00B32BB3">
      <w:pPr>
        <w:tabs>
          <w:tab w:val="right" w:pos="9180"/>
        </w:tabs>
        <w:rPr>
          <w:rFonts w:ascii="Garamond" w:hAnsi="Garamond"/>
          <w:b/>
          <w:color w:val="0000FF"/>
          <w:szCs w:val="18"/>
        </w:rPr>
      </w:pPr>
      <w:r w:rsidRPr="00D029A4">
        <w:rPr>
          <w:rFonts w:ascii="Garamond" w:hAnsi="Garamond"/>
          <w:b/>
          <w:color w:val="0000FF"/>
          <w:szCs w:val="18"/>
        </w:rPr>
        <w:tab/>
      </w:r>
      <w:r w:rsidR="001A6C8B" w:rsidRPr="00D029A4">
        <w:rPr>
          <w:rFonts w:ascii="Garamond" w:hAnsi="Garamond"/>
          <w:b/>
          <w:color w:val="0000FF"/>
        </w:rPr>
        <w:t xml:space="preserve">Final Score </w:t>
      </w:r>
      <w:r w:rsidR="001A6C8B" w:rsidRPr="00D029A4">
        <w:rPr>
          <w:rFonts w:ascii="Garamond" w:hAnsi="Garamond"/>
          <w:color w:val="0000FF"/>
          <w:sz w:val="20"/>
        </w:rPr>
        <w:t>(</w:t>
      </w:r>
      <w:r w:rsidRPr="00D029A4">
        <w:rPr>
          <w:rFonts w:ascii="Garamond" w:hAnsi="Garamond"/>
          <w:color w:val="0000FF"/>
          <w:sz w:val="20"/>
        </w:rPr>
        <w:t xml:space="preserve">Total Score + </w:t>
      </w:r>
      <w:r w:rsidR="001A6C8B" w:rsidRPr="00D029A4">
        <w:rPr>
          <w:rFonts w:ascii="Garamond" w:hAnsi="Garamond"/>
          <w:color w:val="0000FF"/>
          <w:sz w:val="20"/>
        </w:rPr>
        <w:t>Broader Impacts)</w:t>
      </w:r>
      <w:r w:rsidR="001A6C8B" w:rsidRPr="00D029A4">
        <w:rPr>
          <w:rFonts w:ascii="Garamond" w:hAnsi="Garamond"/>
          <w:b/>
          <w:color w:val="0000FF"/>
          <w:szCs w:val="18"/>
        </w:rPr>
        <w:t xml:space="preserve"> =  </w:t>
      </w:r>
      <w:r w:rsidR="001A6C8B" w:rsidRPr="00D029A4">
        <w:rPr>
          <w:rFonts w:ascii="Garamond" w:hAnsi="Garamond"/>
          <w:b/>
          <w:color w:val="0000FF"/>
          <w:szCs w:val="18"/>
          <w:bdr w:val="single" w:sz="4" w:space="0" w:color="auto"/>
          <w:shd w:val="clear" w:color="auto" w:fill="E0E0E0"/>
        </w:rPr>
        <w:t xml:space="preserve">            </w:t>
      </w:r>
      <w:r w:rsidR="001A6C8B" w:rsidRPr="00D029A4">
        <w:rPr>
          <w:rFonts w:ascii="Garamond" w:hAnsi="Garamond"/>
          <w:b/>
          <w:color w:val="0000FF"/>
          <w:szCs w:val="18"/>
        </w:rPr>
        <w:t xml:space="preserve">  (max </w:t>
      </w:r>
      <w:r w:rsidR="00B237E8" w:rsidRPr="00D029A4">
        <w:rPr>
          <w:rFonts w:ascii="Garamond" w:hAnsi="Garamond"/>
          <w:b/>
          <w:color w:val="0000FF"/>
          <w:szCs w:val="18"/>
        </w:rPr>
        <w:t>6</w:t>
      </w:r>
      <w:r w:rsidR="00B237E8">
        <w:rPr>
          <w:rFonts w:ascii="Garamond" w:hAnsi="Garamond"/>
          <w:b/>
          <w:color w:val="0000FF"/>
          <w:szCs w:val="18"/>
        </w:rPr>
        <w:t>5</w:t>
      </w:r>
      <w:r w:rsidR="00B237E8" w:rsidRPr="00D029A4">
        <w:rPr>
          <w:rFonts w:ascii="Garamond" w:hAnsi="Garamond"/>
          <w:b/>
          <w:color w:val="0000FF"/>
          <w:szCs w:val="18"/>
        </w:rPr>
        <w:t xml:space="preserve"> </w:t>
      </w:r>
      <w:r w:rsidR="001A6C8B" w:rsidRPr="00D029A4">
        <w:rPr>
          <w:rFonts w:ascii="Garamond" w:hAnsi="Garamond"/>
          <w:b/>
          <w:color w:val="0000FF"/>
          <w:szCs w:val="18"/>
        </w:rPr>
        <w:t>pts)</w:t>
      </w:r>
    </w:p>
    <w:p w:rsidR="006E16BC" w:rsidRPr="006E16BC" w:rsidRDefault="006E16BC" w:rsidP="006E16BC">
      <w:pPr>
        <w:rPr>
          <w:rFonts w:ascii="Garamond" w:hAnsi="Garamond"/>
          <w:b/>
          <w:color w:val="0000FF"/>
          <w:szCs w:val="18"/>
        </w:rPr>
      </w:pPr>
      <w:r>
        <w:rPr>
          <w:rFonts w:ascii="Garamond" w:hAnsi="Garamond"/>
          <w:b/>
          <w:color w:val="0000FF"/>
          <w:szCs w:val="18"/>
        </w:rPr>
        <w:br w:type="page"/>
      </w:r>
      <w:r>
        <w:rPr>
          <w:b/>
        </w:rPr>
        <w:t>Appendix: RESULTS AND ANALYSIS OF QUALTRICS SURVEY ON SOSA (APRIL 26-MAY 10, 2011)</w:t>
      </w:r>
    </w:p>
    <w:p w:rsidR="006E16BC" w:rsidRDefault="006E16BC" w:rsidP="006E16BC">
      <w:pPr>
        <w:rPr>
          <w:b/>
        </w:rPr>
      </w:pPr>
    </w:p>
    <w:p w:rsidR="006E16BC" w:rsidRPr="005E281F" w:rsidRDefault="006E16BC" w:rsidP="006E16BC">
      <w:pPr>
        <w:rPr>
          <w:b/>
        </w:rPr>
      </w:pPr>
      <w:r w:rsidRPr="005E281F">
        <w:rPr>
          <w:b/>
        </w:rPr>
        <w:t>SURVEY QUESTIONS</w:t>
      </w:r>
    </w:p>
    <w:p w:rsidR="006E16BC" w:rsidRDefault="006E16BC" w:rsidP="006E16BC">
      <w:pPr>
        <w:pStyle w:val="ListParagraph"/>
        <w:numPr>
          <w:ilvl w:val="0"/>
          <w:numId w:val="46"/>
        </w:numPr>
        <w:spacing w:after="200" w:line="276" w:lineRule="auto"/>
      </w:pPr>
      <w:r>
        <w:t>How many years have you been at TCNJ?</w:t>
      </w:r>
    </w:p>
    <w:p w:rsidR="006E16BC" w:rsidRDefault="006E16BC" w:rsidP="006E16BC">
      <w:pPr>
        <w:pStyle w:val="ListParagraph"/>
        <w:numPr>
          <w:ilvl w:val="0"/>
          <w:numId w:val="46"/>
        </w:numPr>
        <w:spacing w:after="200" w:line="276" w:lineRule="auto"/>
      </w:pPr>
      <w:r>
        <w:t>What is your current rank?</w:t>
      </w:r>
    </w:p>
    <w:p w:rsidR="006E16BC" w:rsidRDefault="006E16BC" w:rsidP="006E16BC">
      <w:pPr>
        <w:pStyle w:val="ListParagraph"/>
        <w:numPr>
          <w:ilvl w:val="0"/>
          <w:numId w:val="46"/>
        </w:numPr>
        <w:spacing w:after="200" w:line="276" w:lineRule="auto"/>
      </w:pPr>
      <w:r>
        <w:t>Have you ever applied for SOSA?</w:t>
      </w:r>
    </w:p>
    <w:p w:rsidR="006E16BC" w:rsidRDefault="006E16BC" w:rsidP="006E16BC">
      <w:pPr>
        <w:pStyle w:val="ListParagraph"/>
        <w:numPr>
          <w:ilvl w:val="0"/>
          <w:numId w:val="46"/>
        </w:numPr>
        <w:spacing w:after="200" w:line="276" w:lineRule="auto"/>
      </w:pPr>
      <w:r>
        <w:t>Have you ever been turned down for SOSA?</w:t>
      </w:r>
    </w:p>
    <w:p w:rsidR="006E16BC" w:rsidRDefault="006E16BC" w:rsidP="006E16BC">
      <w:pPr>
        <w:pStyle w:val="ListParagraph"/>
        <w:numPr>
          <w:ilvl w:val="0"/>
          <w:numId w:val="46"/>
        </w:numPr>
        <w:spacing w:after="200" w:line="276" w:lineRule="auto"/>
      </w:pPr>
      <w:r>
        <w:t>did you or will you apply again?</w:t>
      </w:r>
    </w:p>
    <w:p w:rsidR="006E16BC" w:rsidRDefault="006E16BC" w:rsidP="006E16BC">
      <w:pPr>
        <w:pStyle w:val="ListParagraph"/>
        <w:numPr>
          <w:ilvl w:val="0"/>
          <w:numId w:val="46"/>
        </w:numPr>
        <w:spacing w:after="200" w:line="276" w:lineRule="auto"/>
      </w:pPr>
      <w:r>
        <w:t>If not, why not?</w:t>
      </w:r>
    </w:p>
    <w:p w:rsidR="006E16BC" w:rsidRDefault="006E16BC" w:rsidP="006E16BC">
      <w:pPr>
        <w:pStyle w:val="ListParagraph"/>
        <w:numPr>
          <w:ilvl w:val="0"/>
          <w:numId w:val="46"/>
        </w:numPr>
        <w:spacing w:after="200" w:line="276" w:lineRule="auto"/>
      </w:pPr>
      <w:r>
        <w:t>Do you have any concerns about the fairness of the SOSA evaluation process as it currently exists?</w:t>
      </w:r>
    </w:p>
    <w:p w:rsidR="006E16BC" w:rsidRDefault="006E16BC" w:rsidP="006E16BC">
      <w:pPr>
        <w:pStyle w:val="ListParagraph"/>
        <w:numPr>
          <w:ilvl w:val="0"/>
          <w:numId w:val="46"/>
        </w:numPr>
        <w:spacing w:after="200" w:line="276" w:lineRule="auto"/>
      </w:pPr>
      <w:r>
        <w:t>If so, please explain.</w:t>
      </w:r>
    </w:p>
    <w:p w:rsidR="006E16BC" w:rsidRDefault="006E16BC" w:rsidP="006E16BC">
      <w:pPr>
        <w:pStyle w:val="ListParagraph"/>
        <w:numPr>
          <w:ilvl w:val="0"/>
          <w:numId w:val="46"/>
        </w:numPr>
        <w:spacing w:after="200" w:line="276" w:lineRule="auto"/>
      </w:pPr>
      <w:r>
        <w:t>Before transformation, new tenure-track hires were given an automatic course reduction in their first year. Would you like to see SOSA used for this purpose now? If so, it would reduce the number of awards available for senior faculty.</w:t>
      </w:r>
    </w:p>
    <w:p w:rsidR="006E16BC" w:rsidRDefault="006E16BC" w:rsidP="006E16BC">
      <w:pPr>
        <w:pStyle w:val="ListParagraph"/>
        <w:numPr>
          <w:ilvl w:val="0"/>
          <w:numId w:val="46"/>
        </w:numPr>
        <w:spacing w:after="200" w:line="276" w:lineRule="auto"/>
      </w:pPr>
      <w:r>
        <w:t>If yes, how many years do you think SOSA should be used to provide course reduction to new faculty?</w:t>
      </w:r>
    </w:p>
    <w:p w:rsidR="006E16BC" w:rsidRDefault="006E16BC" w:rsidP="006E16BC">
      <w:pPr>
        <w:pStyle w:val="ListParagraph"/>
        <w:ind w:left="2160" w:firstLine="720"/>
      </w:pPr>
      <w:r>
        <w:t>Only the first year</w:t>
      </w:r>
    </w:p>
    <w:p w:rsidR="006E16BC" w:rsidRDefault="006E16BC" w:rsidP="006E16BC">
      <w:pPr>
        <w:pStyle w:val="ListParagraph"/>
        <w:ind w:left="2880"/>
      </w:pPr>
      <w:r>
        <w:t>The first two years</w:t>
      </w:r>
    </w:p>
    <w:p w:rsidR="006E16BC" w:rsidRDefault="006E16BC" w:rsidP="006E16BC">
      <w:pPr>
        <w:pStyle w:val="ListParagraph"/>
        <w:ind w:left="2880"/>
      </w:pPr>
      <w:r>
        <w:t>Until tenure is granted</w:t>
      </w:r>
    </w:p>
    <w:p w:rsidR="006E16BC" w:rsidRDefault="006E16BC" w:rsidP="006E16BC">
      <w:pPr>
        <w:pStyle w:val="ListParagraph"/>
        <w:ind w:left="2880"/>
      </w:pPr>
      <w:r>
        <w:t>Until promotion to Associate Professor</w:t>
      </w:r>
    </w:p>
    <w:p w:rsidR="006E16BC" w:rsidRDefault="006E16BC" w:rsidP="006E16BC">
      <w:pPr>
        <w:pStyle w:val="ListParagraph"/>
        <w:numPr>
          <w:ilvl w:val="0"/>
          <w:numId w:val="46"/>
        </w:numPr>
        <w:spacing w:after="200" w:line="276" w:lineRule="auto"/>
      </w:pPr>
      <w:r>
        <w:t>Do you think junior faculty should be privileged by giving a bonus in the scoring of their applications?</w:t>
      </w:r>
    </w:p>
    <w:p w:rsidR="006E16BC" w:rsidRDefault="006E16BC" w:rsidP="006E16BC">
      <w:pPr>
        <w:pStyle w:val="ListParagraph"/>
        <w:numPr>
          <w:ilvl w:val="0"/>
          <w:numId w:val="46"/>
        </w:numPr>
        <w:spacing w:after="200" w:line="276" w:lineRule="auto"/>
      </w:pPr>
      <w:r>
        <w:t>Do you think faculty members who are applying for SOSA after a period of significant service to the college should be privileged by giving a bonus in the scoring of their applications?</w:t>
      </w:r>
    </w:p>
    <w:p w:rsidR="006E16BC" w:rsidRDefault="006E16BC" w:rsidP="006E16BC">
      <w:pPr>
        <w:pStyle w:val="ListParagraph"/>
        <w:numPr>
          <w:ilvl w:val="0"/>
          <w:numId w:val="46"/>
        </w:numPr>
        <w:spacing w:after="200" w:line="276" w:lineRule="auto"/>
      </w:pPr>
      <w:r>
        <w:t>Do you think faculty members who are taking their scholarly/creative/professional activities in a new direction for which they do not have a track record should be privileged by giving a bonus in the scoring of their applications?</w:t>
      </w:r>
    </w:p>
    <w:p w:rsidR="006E16BC" w:rsidRDefault="006E16BC" w:rsidP="006E16BC">
      <w:pPr>
        <w:pStyle w:val="ListParagraph"/>
        <w:numPr>
          <w:ilvl w:val="0"/>
          <w:numId w:val="46"/>
        </w:numPr>
        <w:spacing w:after="200" w:line="276" w:lineRule="auto"/>
      </w:pPr>
      <w:r>
        <w:t>Given that there are only a limited number of SOSA awards, do you think a rotation system should be instituted so that those who have not had a SOSA award in a number or years or who have never had a SOSA award should be given a bonus in the scoring of their applications?</w:t>
      </w:r>
    </w:p>
    <w:p w:rsidR="006E16BC" w:rsidRDefault="006E16BC" w:rsidP="006E16BC">
      <w:pPr>
        <w:pStyle w:val="ListParagraph"/>
        <w:numPr>
          <w:ilvl w:val="0"/>
          <w:numId w:val="46"/>
        </w:numPr>
        <w:spacing w:after="200" w:line="276" w:lineRule="auto"/>
      </w:pPr>
      <w:r>
        <w:t>Currently SOSA proposals are evaluated based 50% on the strength of the proposal and 50% on the qualifications of the applicants. Do you think these percentages are fair?</w:t>
      </w:r>
    </w:p>
    <w:p w:rsidR="006E16BC" w:rsidRDefault="006E16BC" w:rsidP="006E16BC">
      <w:pPr>
        <w:pStyle w:val="ListParagraph"/>
        <w:numPr>
          <w:ilvl w:val="0"/>
          <w:numId w:val="46"/>
        </w:numPr>
        <w:spacing w:after="200" w:line="276" w:lineRule="auto"/>
      </w:pPr>
      <w:r>
        <w:t>If not, how would you like to see them weighed?</w:t>
      </w:r>
    </w:p>
    <w:p w:rsidR="006E16BC" w:rsidRDefault="006E16BC" w:rsidP="006E16BC">
      <w:pPr>
        <w:pStyle w:val="ListParagraph"/>
        <w:numPr>
          <w:ilvl w:val="0"/>
          <w:numId w:val="46"/>
        </w:numPr>
        <w:spacing w:after="200" w:line="276" w:lineRule="auto"/>
      </w:pPr>
      <w:r>
        <w:t>SOSA applications are currently evaluated by a multidisciplinary committee. Given that not all departments/disciplines on campus can be represented, would you prefer?</w:t>
      </w:r>
    </w:p>
    <w:p w:rsidR="006E16BC" w:rsidRDefault="006E16BC" w:rsidP="006E16BC">
      <w:pPr>
        <w:pStyle w:val="ListParagraph"/>
        <w:numPr>
          <w:ilvl w:val="0"/>
          <w:numId w:val="47"/>
        </w:numPr>
        <w:spacing w:after="200" w:line="276" w:lineRule="auto"/>
      </w:pPr>
      <w:r>
        <w:t>To have proposals evaluated by a multidisciplinary committee that may include someone from the department/discipline of the applicant</w:t>
      </w:r>
    </w:p>
    <w:p w:rsidR="006E16BC" w:rsidRDefault="006E16BC" w:rsidP="006E16BC">
      <w:pPr>
        <w:pStyle w:val="ListParagraph"/>
        <w:numPr>
          <w:ilvl w:val="0"/>
          <w:numId w:val="47"/>
        </w:numPr>
        <w:spacing w:after="200" w:line="276" w:lineRule="auto"/>
      </w:pPr>
      <w:r>
        <w:t>To have proposals evaluated by a multidisciplinary committee that includes no one from the department/discipline of the applicant</w:t>
      </w:r>
    </w:p>
    <w:p w:rsidR="006E16BC" w:rsidRDefault="006E16BC" w:rsidP="006E16BC">
      <w:pPr>
        <w:pStyle w:val="ListParagraph"/>
        <w:numPr>
          <w:ilvl w:val="0"/>
          <w:numId w:val="46"/>
        </w:numPr>
        <w:spacing w:after="200" w:line="276" w:lineRule="auto"/>
      </w:pPr>
      <w:r>
        <w:t xml:space="preserve">Have you ever served on the SOSA committee? </w:t>
      </w:r>
    </w:p>
    <w:p w:rsidR="006E16BC" w:rsidRDefault="006E16BC" w:rsidP="006E16BC">
      <w:pPr>
        <w:pStyle w:val="ListParagraph"/>
        <w:numPr>
          <w:ilvl w:val="0"/>
          <w:numId w:val="46"/>
        </w:numPr>
        <w:spacing w:after="200" w:line="276" w:lineRule="auto"/>
      </w:pPr>
      <w:r>
        <w:t>If so, did you have concerns about the workload, the fairness of the process, the composition of the committee, or anything else about the process?</w:t>
      </w:r>
    </w:p>
    <w:p w:rsidR="006E16BC" w:rsidRDefault="006E16BC" w:rsidP="006E16BC">
      <w:pPr>
        <w:pStyle w:val="ListParagraph"/>
        <w:numPr>
          <w:ilvl w:val="0"/>
          <w:numId w:val="46"/>
        </w:numPr>
        <w:spacing w:after="200" w:line="276" w:lineRule="auto"/>
      </w:pPr>
      <w:r>
        <w:t>Please explain.</w:t>
      </w:r>
    </w:p>
    <w:p w:rsidR="006E16BC" w:rsidRDefault="006E16BC" w:rsidP="006E16BC">
      <w:pPr>
        <w:pStyle w:val="ListParagraph"/>
        <w:numPr>
          <w:ilvl w:val="0"/>
          <w:numId w:val="46"/>
        </w:numPr>
        <w:spacing w:after="200" w:line="276" w:lineRule="auto"/>
      </w:pPr>
      <w:r>
        <w:t>Do you have any other comments regarding SOSA that you would like CFA to consider in its review?</w:t>
      </w:r>
    </w:p>
    <w:p w:rsidR="006E16BC" w:rsidRPr="00286EB3" w:rsidRDefault="006E16BC" w:rsidP="006E16BC">
      <w:pPr>
        <w:rPr>
          <w:b/>
        </w:rPr>
      </w:pPr>
    </w:p>
    <w:p w:rsidR="006E16BC" w:rsidRPr="00286EB3" w:rsidRDefault="006E16BC" w:rsidP="006E16BC">
      <w:pPr>
        <w:rPr>
          <w:b/>
        </w:rPr>
      </w:pPr>
      <w:r w:rsidRPr="00286EB3">
        <w:rPr>
          <w:b/>
        </w:rPr>
        <w:t>ANALYSIS</w:t>
      </w:r>
    </w:p>
    <w:p w:rsidR="006E16BC" w:rsidRDefault="006E16BC" w:rsidP="006E16BC">
      <w:r w:rsidRPr="001C5E1D">
        <w:rPr>
          <w:b/>
          <w:i/>
        </w:rPr>
        <w:t>Demographics:</w:t>
      </w:r>
      <w:r>
        <w:t xml:space="preserve"> 145 faculty responded to the survey, approximately </w:t>
      </w:r>
      <w:r>
        <w:rPr>
          <w:color w:val="FF0000"/>
        </w:rPr>
        <w:t>?? percent.</w:t>
      </w:r>
      <w:r>
        <w:t xml:space="preserve"> Of these, 25% identified themselves as Professors, 44% as Associate Professors, 13% as Assistant Professors with tenure, and 22% as Assistant Professors without tenure. The number of years at TCNJ were reported as between 1-41 years. </w:t>
      </w:r>
    </w:p>
    <w:p w:rsidR="006E16BC" w:rsidRDefault="006E16BC" w:rsidP="006E16BC">
      <w:r>
        <w:t>92% of the respondents reported that they had applied for SOSA. 60% of them had been turned down, and, of these, 23% reported that they would not apply again. Of those who elaborated, 52% felt the process was biased, unfair, arbitrary, and opaque.  31.5% felt it was too much trouble for too little reward.</w:t>
      </w:r>
    </w:p>
    <w:p w:rsidR="006E16BC" w:rsidRDefault="006E16BC" w:rsidP="006E16BC">
      <w:r>
        <w:t>77% of the respondents reported that they had previously served on the SOSA committee. Of these, 81% had concerns about the current process.</w:t>
      </w:r>
    </w:p>
    <w:p w:rsidR="006E16BC" w:rsidRDefault="006E16BC" w:rsidP="006E16BC">
      <w:r w:rsidRPr="001C5E1D">
        <w:rPr>
          <w:b/>
          <w:i/>
        </w:rPr>
        <w:t>Fairness of the Current Process</w:t>
      </w:r>
      <w:r>
        <w:t>: Overall, 63% of the respondents felt that the current SOSA process was unfair. 94% of those who felt that way elaborated. Reasons given included:</w:t>
      </w:r>
    </w:p>
    <w:tbl>
      <w:tblPr>
        <w:tblStyle w:val="TableGrid"/>
        <w:tblW w:w="0" w:type="auto"/>
        <w:jc w:val="center"/>
        <w:tblInd w:w="720" w:type="dxa"/>
        <w:tblLayout w:type="fixed"/>
        <w:tblLook w:val="04A0" w:firstRow="1" w:lastRow="0" w:firstColumn="1" w:lastColumn="0" w:noHBand="0" w:noVBand="1"/>
      </w:tblPr>
      <w:tblGrid>
        <w:gridCol w:w="4248"/>
        <w:gridCol w:w="810"/>
      </w:tblGrid>
      <w:tr w:rsidR="006E16BC" w:rsidTr="00790355">
        <w:trPr>
          <w:jc w:val="center"/>
        </w:trPr>
        <w:tc>
          <w:tcPr>
            <w:tcW w:w="4248" w:type="dxa"/>
          </w:tcPr>
          <w:p w:rsidR="006E16BC" w:rsidRDefault="006E16BC" w:rsidP="00790355">
            <w:r>
              <w:t>bias or unfairness – sometimes indicating the prejudice is for/or against a) junior faculty, b) faculty who are active scholars, c) certain types of projects or certain disciplines, or d) faculty taking their scholarship in new directions</w:t>
            </w:r>
          </w:p>
        </w:tc>
        <w:tc>
          <w:tcPr>
            <w:tcW w:w="810" w:type="dxa"/>
          </w:tcPr>
          <w:p w:rsidR="006E16BC" w:rsidRDefault="006E16BC" w:rsidP="00790355">
            <w:r>
              <w:t>34%</w:t>
            </w:r>
          </w:p>
        </w:tc>
      </w:tr>
      <w:tr w:rsidR="006E16BC" w:rsidTr="00790355">
        <w:trPr>
          <w:jc w:val="center"/>
        </w:trPr>
        <w:tc>
          <w:tcPr>
            <w:tcW w:w="4248" w:type="dxa"/>
          </w:tcPr>
          <w:p w:rsidR="006E16BC" w:rsidRDefault="006E16BC" w:rsidP="00790355">
            <w:r>
              <w:t>members of the SOSA committee cannot properly evaluate applications from outside their own disciplines</w:t>
            </w:r>
          </w:p>
        </w:tc>
        <w:tc>
          <w:tcPr>
            <w:tcW w:w="810" w:type="dxa"/>
          </w:tcPr>
          <w:p w:rsidR="006E16BC" w:rsidRDefault="006E16BC" w:rsidP="00790355">
            <w:r>
              <w:t>28.5%</w:t>
            </w:r>
          </w:p>
        </w:tc>
      </w:tr>
      <w:tr w:rsidR="006E16BC" w:rsidTr="00790355">
        <w:trPr>
          <w:jc w:val="center"/>
        </w:trPr>
        <w:tc>
          <w:tcPr>
            <w:tcW w:w="4248" w:type="dxa"/>
          </w:tcPr>
          <w:p w:rsidR="006E16BC" w:rsidRDefault="006E16BC" w:rsidP="00790355">
            <w:r>
              <w:t>the criteria are unclear and the process is not transparent</w:t>
            </w:r>
          </w:p>
        </w:tc>
        <w:tc>
          <w:tcPr>
            <w:tcW w:w="810" w:type="dxa"/>
          </w:tcPr>
          <w:p w:rsidR="006E16BC" w:rsidRDefault="006E16BC" w:rsidP="00790355">
            <w:r>
              <w:t>17%</w:t>
            </w:r>
          </w:p>
        </w:tc>
      </w:tr>
      <w:tr w:rsidR="006E16BC" w:rsidTr="00790355">
        <w:trPr>
          <w:jc w:val="center"/>
        </w:trPr>
        <w:tc>
          <w:tcPr>
            <w:tcW w:w="4248" w:type="dxa"/>
          </w:tcPr>
          <w:p w:rsidR="006E16BC" w:rsidRDefault="006E16BC" w:rsidP="00790355">
            <w:r>
              <w:t>complaints that SOSA committee members lobby or explain proposals from their own fields</w:t>
            </w:r>
          </w:p>
        </w:tc>
        <w:tc>
          <w:tcPr>
            <w:tcW w:w="810" w:type="dxa"/>
          </w:tcPr>
          <w:p w:rsidR="006E16BC" w:rsidRDefault="006E16BC" w:rsidP="00790355">
            <w:r>
              <w:t xml:space="preserve">15% </w:t>
            </w:r>
          </w:p>
          <w:p w:rsidR="006E16BC" w:rsidRDefault="006E16BC" w:rsidP="00790355"/>
        </w:tc>
      </w:tr>
    </w:tbl>
    <w:p w:rsidR="006E16BC" w:rsidRDefault="006E16BC" w:rsidP="006E16BC"/>
    <w:p w:rsidR="006E16BC" w:rsidRDefault="006E16BC" w:rsidP="006E16BC">
      <w:r>
        <w:t>When asked if the current application weighting of 50% on the qualifications of the applicant and 50% on the strength of the proposal was fair, 60% of respondents (81) indicated “no.”.  In an open-ended follow-up question “How would you like to see them rated?”, 80 respondents elaborated. Of those who addressed this question, 61% of them indicated the proposal should be weighted more heavily than the qualifications of the applicant, with various percentages suggested. Only 11% responded that they would like the qualifications of the applicant to be weighed more heavily than the proposal.  The distribution of responses was as follows:</w:t>
      </w:r>
    </w:p>
    <w:tbl>
      <w:tblPr>
        <w:tblStyle w:val="TableGrid"/>
        <w:tblW w:w="0" w:type="auto"/>
        <w:tblLook w:val="04A0" w:firstRow="1" w:lastRow="0" w:firstColumn="1" w:lastColumn="0" w:noHBand="0" w:noVBand="1"/>
      </w:tblPr>
      <w:tblGrid>
        <w:gridCol w:w="7873"/>
        <w:gridCol w:w="597"/>
      </w:tblGrid>
      <w:tr w:rsidR="006E16BC" w:rsidTr="00790355">
        <w:tc>
          <w:tcPr>
            <w:tcW w:w="0" w:type="auto"/>
          </w:tcPr>
          <w:p w:rsidR="006E16BC" w:rsidRDefault="006E16BC" w:rsidP="00790355">
            <w:r>
              <w:t>fair as it is</w:t>
            </w:r>
          </w:p>
        </w:tc>
        <w:tc>
          <w:tcPr>
            <w:tcW w:w="0" w:type="auto"/>
          </w:tcPr>
          <w:p w:rsidR="006E16BC" w:rsidRDefault="006E16BC" w:rsidP="00790355">
            <w:r>
              <w:t>3%</w:t>
            </w:r>
          </w:p>
        </w:tc>
      </w:tr>
      <w:tr w:rsidR="006E16BC" w:rsidTr="00790355">
        <w:tc>
          <w:tcPr>
            <w:tcW w:w="0" w:type="auto"/>
          </w:tcPr>
          <w:p w:rsidR="006E16BC" w:rsidRDefault="006E16BC" w:rsidP="00790355">
            <w:r>
              <w:t>the proposal should be weighted more heavily than the qualifications of the applicant</w:t>
            </w:r>
          </w:p>
        </w:tc>
        <w:tc>
          <w:tcPr>
            <w:tcW w:w="0" w:type="auto"/>
          </w:tcPr>
          <w:p w:rsidR="006E16BC" w:rsidRDefault="006E16BC" w:rsidP="00790355">
            <w:r>
              <w:t>61%</w:t>
            </w:r>
          </w:p>
        </w:tc>
      </w:tr>
      <w:tr w:rsidR="006E16BC" w:rsidTr="00790355">
        <w:tc>
          <w:tcPr>
            <w:tcW w:w="0" w:type="auto"/>
          </w:tcPr>
          <w:p w:rsidR="006E16BC" w:rsidRDefault="006E16BC" w:rsidP="00790355">
            <w:r>
              <w:t>the qualifications of the applicant should be weighted more heavily than the proposal</w:t>
            </w:r>
          </w:p>
        </w:tc>
        <w:tc>
          <w:tcPr>
            <w:tcW w:w="0" w:type="auto"/>
          </w:tcPr>
          <w:p w:rsidR="006E16BC" w:rsidRDefault="006E16BC" w:rsidP="00790355">
            <w:r>
              <w:t>11%</w:t>
            </w:r>
          </w:p>
        </w:tc>
      </w:tr>
      <w:tr w:rsidR="006E16BC" w:rsidTr="00790355">
        <w:tc>
          <w:tcPr>
            <w:tcW w:w="0" w:type="auto"/>
          </w:tcPr>
          <w:p w:rsidR="006E16BC" w:rsidRDefault="006E16BC" w:rsidP="00790355">
            <w:r>
              <w:t>don’t care/unable to distinguish a preference</w:t>
            </w:r>
          </w:p>
        </w:tc>
        <w:tc>
          <w:tcPr>
            <w:tcW w:w="0" w:type="auto"/>
          </w:tcPr>
          <w:p w:rsidR="006E16BC" w:rsidRDefault="006E16BC" w:rsidP="00790355">
            <w:r>
              <w:t>25%</w:t>
            </w:r>
          </w:p>
        </w:tc>
      </w:tr>
    </w:tbl>
    <w:p w:rsidR="006E16BC" w:rsidRDefault="006E16BC" w:rsidP="006E16BC"/>
    <w:p w:rsidR="006E16BC" w:rsidRDefault="006E16BC" w:rsidP="006E16BC">
      <w:r>
        <w:rPr>
          <w:b/>
          <w:i/>
        </w:rPr>
        <w:t>Consideration</w:t>
      </w:r>
      <w:r w:rsidRPr="001C5E1D">
        <w:rPr>
          <w:b/>
          <w:i/>
        </w:rPr>
        <w:t xml:space="preserve"> for groups of faculty perceived to be disadvantaged by the current system</w:t>
      </w:r>
      <w:r>
        <w:t>: When asked if SOSA should be automatically awarded to junior faculty thereby reducing the number of awards the rest of the faculty could compete for, respondents split an even 50% in favor and 50% against.</w:t>
      </w:r>
    </w:p>
    <w:p w:rsidR="006E16BC" w:rsidRPr="00442CDF" w:rsidRDefault="006E16BC" w:rsidP="006E16BC">
      <w:r>
        <w:t>When asked about giving special consideration to specific groups of faculty, responses were as follows:</w:t>
      </w:r>
    </w:p>
    <w:tbl>
      <w:tblPr>
        <w:tblStyle w:val="TableGrid"/>
        <w:tblW w:w="0" w:type="auto"/>
        <w:jc w:val="center"/>
        <w:tblLook w:val="04A0" w:firstRow="1" w:lastRow="0" w:firstColumn="1" w:lastColumn="0" w:noHBand="0" w:noVBand="1"/>
      </w:tblPr>
      <w:tblGrid>
        <w:gridCol w:w="5160"/>
        <w:gridCol w:w="597"/>
        <w:gridCol w:w="597"/>
      </w:tblGrid>
      <w:tr w:rsidR="006E16BC" w:rsidTr="00790355">
        <w:trPr>
          <w:jc w:val="center"/>
        </w:trPr>
        <w:tc>
          <w:tcPr>
            <w:tcW w:w="0" w:type="auto"/>
          </w:tcPr>
          <w:p w:rsidR="006E16BC" w:rsidRDefault="006E16BC" w:rsidP="00790355"/>
        </w:tc>
        <w:tc>
          <w:tcPr>
            <w:tcW w:w="0" w:type="auto"/>
          </w:tcPr>
          <w:p w:rsidR="006E16BC" w:rsidRDefault="006E16BC" w:rsidP="00790355">
            <w:r>
              <w:t>Yes</w:t>
            </w:r>
          </w:p>
        </w:tc>
        <w:tc>
          <w:tcPr>
            <w:tcW w:w="0" w:type="auto"/>
          </w:tcPr>
          <w:p w:rsidR="006E16BC" w:rsidRDefault="006E16BC" w:rsidP="00790355">
            <w:r>
              <w:t>No</w:t>
            </w:r>
          </w:p>
        </w:tc>
      </w:tr>
      <w:tr w:rsidR="006E16BC" w:rsidTr="00790355">
        <w:trPr>
          <w:jc w:val="center"/>
        </w:trPr>
        <w:tc>
          <w:tcPr>
            <w:tcW w:w="0" w:type="auto"/>
          </w:tcPr>
          <w:p w:rsidR="006E16BC" w:rsidRDefault="006E16BC" w:rsidP="00790355">
            <w:r>
              <w:t>Junior faculty</w:t>
            </w:r>
          </w:p>
        </w:tc>
        <w:tc>
          <w:tcPr>
            <w:tcW w:w="0" w:type="auto"/>
          </w:tcPr>
          <w:p w:rsidR="006E16BC" w:rsidRDefault="006E16BC" w:rsidP="00790355">
            <w:r>
              <w:t>52%</w:t>
            </w:r>
          </w:p>
        </w:tc>
        <w:tc>
          <w:tcPr>
            <w:tcW w:w="0" w:type="auto"/>
          </w:tcPr>
          <w:p w:rsidR="006E16BC" w:rsidRDefault="006E16BC" w:rsidP="00790355">
            <w:r>
              <w:t>48%</w:t>
            </w:r>
          </w:p>
        </w:tc>
      </w:tr>
      <w:tr w:rsidR="006E16BC" w:rsidTr="00790355">
        <w:trPr>
          <w:jc w:val="center"/>
        </w:trPr>
        <w:tc>
          <w:tcPr>
            <w:tcW w:w="0" w:type="auto"/>
          </w:tcPr>
          <w:p w:rsidR="006E16BC" w:rsidRDefault="006E16BC" w:rsidP="00790355">
            <w:r>
              <w:t>Faculty returning to scholarship after significant service</w:t>
            </w:r>
          </w:p>
        </w:tc>
        <w:tc>
          <w:tcPr>
            <w:tcW w:w="0" w:type="auto"/>
          </w:tcPr>
          <w:p w:rsidR="006E16BC" w:rsidRDefault="006E16BC" w:rsidP="00790355">
            <w:r>
              <w:t>52%</w:t>
            </w:r>
          </w:p>
        </w:tc>
        <w:tc>
          <w:tcPr>
            <w:tcW w:w="0" w:type="auto"/>
          </w:tcPr>
          <w:p w:rsidR="006E16BC" w:rsidRDefault="006E16BC" w:rsidP="00790355">
            <w:r>
              <w:t>48%</w:t>
            </w:r>
          </w:p>
        </w:tc>
      </w:tr>
      <w:tr w:rsidR="006E16BC" w:rsidTr="00790355">
        <w:trPr>
          <w:jc w:val="center"/>
        </w:trPr>
        <w:tc>
          <w:tcPr>
            <w:tcW w:w="0" w:type="auto"/>
          </w:tcPr>
          <w:p w:rsidR="006E16BC" w:rsidRDefault="006E16BC" w:rsidP="00790355">
            <w:r>
              <w:t>Faculty taking scholarship in a new direction</w:t>
            </w:r>
          </w:p>
        </w:tc>
        <w:tc>
          <w:tcPr>
            <w:tcW w:w="0" w:type="auto"/>
          </w:tcPr>
          <w:p w:rsidR="006E16BC" w:rsidRDefault="006E16BC" w:rsidP="00790355">
            <w:r>
              <w:t>32%</w:t>
            </w:r>
          </w:p>
        </w:tc>
        <w:tc>
          <w:tcPr>
            <w:tcW w:w="0" w:type="auto"/>
          </w:tcPr>
          <w:p w:rsidR="006E16BC" w:rsidRDefault="006E16BC" w:rsidP="00790355">
            <w:r>
              <w:t>68%</w:t>
            </w:r>
          </w:p>
        </w:tc>
      </w:tr>
      <w:tr w:rsidR="006E16BC" w:rsidTr="00790355">
        <w:trPr>
          <w:jc w:val="center"/>
        </w:trPr>
        <w:tc>
          <w:tcPr>
            <w:tcW w:w="0" w:type="auto"/>
          </w:tcPr>
          <w:p w:rsidR="006E16BC" w:rsidRDefault="006E16BC" w:rsidP="00790355">
            <w:r>
              <w:t>Faculty who have not had recent SOSA awards</w:t>
            </w:r>
          </w:p>
        </w:tc>
        <w:tc>
          <w:tcPr>
            <w:tcW w:w="0" w:type="auto"/>
          </w:tcPr>
          <w:p w:rsidR="006E16BC" w:rsidRDefault="006E16BC" w:rsidP="00790355">
            <w:r>
              <w:t>44%</w:t>
            </w:r>
          </w:p>
        </w:tc>
        <w:tc>
          <w:tcPr>
            <w:tcW w:w="0" w:type="auto"/>
          </w:tcPr>
          <w:p w:rsidR="006E16BC" w:rsidRDefault="006E16BC" w:rsidP="00790355">
            <w:r>
              <w:t>56%</w:t>
            </w:r>
          </w:p>
        </w:tc>
      </w:tr>
    </w:tbl>
    <w:p w:rsidR="006E16BC" w:rsidRDefault="006E16BC" w:rsidP="006E16BC"/>
    <w:p w:rsidR="006E16BC" w:rsidRDefault="006E16BC" w:rsidP="006E16BC">
      <w:r w:rsidRPr="001C5E1D">
        <w:rPr>
          <w:b/>
          <w:i/>
        </w:rPr>
        <w:t>Composition of the Committee</w:t>
      </w:r>
      <w:r>
        <w:rPr>
          <w:b/>
          <w:i/>
        </w:rPr>
        <w:t>.</w:t>
      </w:r>
      <w:r>
        <w:t xml:space="preserve"> When asked if respondents would prefer to have their applications evaluated by a committee that might include someone from their discipline, 77% said “yes,” whereas 23% preferred to have their applications evaluated by a group that includes no one from the applicant’s discipline.</w:t>
      </w:r>
    </w:p>
    <w:p w:rsidR="006E16BC" w:rsidRDefault="006E16BC" w:rsidP="006E16BC">
      <w:r w:rsidRPr="001C5E1D">
        <w:rPr>
          <w:b/>
          <w:i/>
        </w:rPr>
        <w:t>Comments from Previous SOSA Committee Members</w:t>
      </w:r>
      <w:r>
        <w:t>. Respondents who have served on the SOSA Committee were asked about their concerns. 81% of them were concerned about the current process, and 25 of them elaborated. Of these, the following concerns were noted:</w:t>
      </w:r>
    </w:p>
    <w:tbl>
      <w:tblPr>
        <w:tblStyle w:val="TableGrid"/>
        <w:tblW w:w="0" w:type="auto"/>
        <w:jc w:val="center"/>
        <w:tblLook w:val="04A0" w:firstRow="1" w:lastRow="0" w:firstColumn="1" w:lastColumn="0" w:noHBand="0" w:noVBand="1"/>
      </w:tblPr>
      <w:tblGrid>
        <w:gridCol w:w="1883"/>
        <w:gridCol w:w="597"/>
      </w:tblGrid>
      <w:tr w:rsidR="006E16BC" w:rsidTr="00790355">
        <w:trPr>
          <w:jc w:val="center"/>
        </w:trPr>
        <w:tc>
          <w:tcPr>
            <w:tcW w:w="0" w:type="auto"/>
          </w:tcPr>
          <w:p w:rsidR="006E16BC" w:rsidRDefault="006E16BC" w:rsidP="00790355">
            <w:r>
              <w:t>Workload too high</w:t>
            </w:r>
          </w:p>
        </w:tc>
        <w:tc>
          <w:tcPr>
            <w:tcW w:w="0" w:type="auto"/>
          </w:tcPr>
          <w:p w:rsidR="006E16BC" w:rsidRDefault="006E16BC" w:rsidP="00790355">
            <w:r>
              <w:t>40%</w:t>
            </w:r>
          </w:p>
        </w:tc>
      </w:tr>
      <w:tr w:rsidR="006E16BC" w:rsidTr="00790355">
        <w:trPr>
          <w:jc w:val="center"/>
        </w:trPr>
        <w:tc>
          <w:tcPr>
            <w:tcW w:w="0" w:type="auto"/>
          </w:tcPr>
          <w:p w:rsidR="006E16BC" w:rsidRDefault="006E16BC" w:rsidP="00790355">
            <w:r>
              <w:t>Process unfair</w:t>
            </w:r>
          </w:p>
        </w:tc>
        <w:tc>
          <w:tcPr>
            <w:tcW w:w="0" w:type="auto"/>
          </w:tcPr>
          <w:p w:rsidR="006E16BC" w:rsidRDefault="006E16BC" w:rsidP="00790355">
            <w:r>
              <w:t>44%</w:t>
            </w:r>
          </w:p>
        </w:tc>
      </w:tr>
    </w:tbl>
    <w:p w:rsidR="006E16BC" w:rsidRDefault="006E16BC" w:rsidP="006E16BC"/>
    <w:p w:rsidR="006E16BC" w:rsidRPr="001C5E1D" w:rsidRDefault="006E16BC" w:rsidP="006E16BC">
      <w:r w:rsidRPr="001D0C9C">
        <w:rPr>
          <w:b/>
          <w:i/>
        </w:rPr>
        <w:t>Other Comments</w:t>
      </w:r>
      <w:r>
        <w:rPr>
          <w:b/>
          <w:i/>
        </w:rPr>
        <w:t>.</w:t>
      </w:r>
      <w:r>
        <w:t xml:space="preserve"> The final survey question allowed respondents to comment on any aspect of SOSA they wanted brought to CFA’s attention. Most of the comments reiterated issues discussed earlier.</w:t>
      </w:r>
    </w:p>
    <w:p w:rsidR="001A6C8B" w:rsidRPr="00D029A4" w:rsidRDefault="001A6C8B" w:rsidP="00B32BB3">
      <w:pPr>
        <w:tabs>
          <w:tab w:val="right" w:pos="9180"/>
        </w:tabs>
        <w:rPr>
          <w:rFonts w:ascii="Garamond" w:hAnsi="Garamond"/>
          <w:b/>
          <w:color w:val="0000FF"/>
        </w:rPr>
      </w:pPr>
    </w:p>
    <w:sectPr w:rsidR="001A6C8B" w:rsidRPr="00D029A4" w:rsidSect="00866EEA">
      <w:footerReference w:type="default" r:id="rId16"/>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A7" w:rsidRDefault="004851A7" w:rsidP="00DC7447">
      <w:r>
        <w:separator/>
      </w:r>
    </w:p>
  </w:endnote>
  <w:endnote w:type="continuationSeparator" w:id="0">
    <w:p w:rsidR="004851A7" w:rsidRDefault="004851A7" w:rsidP="00D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A7" w:rsidRPr="005B1600" w:rsidRDefault="004851A7" w:rsidP="005B1600">
    <w:pPr>
      <w:pStyle w:val="Footer"/>
      <w:rPr>
        <w:rFonts w:ascii="Garamond" w:hAnsi="Garamond"/>
        <w:sz w:val="20"/>
      </w:rPr>
    </w:pPr>
    <w:r w:rsidRPr="005B1600">
      <w:rPr>
        <w:rFonts w:ascii="Garamond" w:hAnsi="Garamond"/>
        <w:sz w:val="20"/>
      </w:rPr>
      <w:tab/>
    </w:r>
    <w:r w:rsidRPr="005B1600">
      <w:rPr>
        <w:rFonts w:ascii="Garamond" w:hAnsi="Garamond"/>
        <w:sz w:val="20"/>
      </w:rPr>
      <w:tab/>
      <w:t xml:space="preserve">Page </w:t>
    </w:r>
    <w:r w:rsidR="00E847DA" w:rsidRPr="005B1600">
      <w:rPr>
        <w:rStyle w:val="PageNumber"/>
        <w:rFonts w:ascii="Garamond" w:hAnsi="Garamond"/>
        <w:sz w:val="20"/>
      </w:rPr>
      <w:fldChar w:fldCharType="begin"/>
    </w:r>
    <w:r w:rsidRPr="005B1600">
      <w:rPr>
        <w:rStyle w:val="PageNumber"/>
        <w:rFonts w:ascii="Garamond" w:hAnsi="Garamond"/>
        <w:sz w:val="20"/>
      </w:rPr>
      <w:instrText xml:space="preserve"> PAGE </w:instrText>
    </w:r>
    <w:r w:rsidR="00E847DA" w:rsidRPr="005B1600">
      <w:rPr>
        <w:rStyle w:val="PageNumber"/>
        <w:rFonts w:ascii="Garamond" w:hAnsi="Garamond"/>
        <w:sz w:val="20"/>
      </w:rPr>
      <w:fldChar w:fldCharType="separate"/>
    </w:r>
    <w:r w:rsidR="00194244">
      <w:rPr>
        <w:rStyle w:val="PageNumber"/>
        <w:rFonts w:ascii="Garamond" w:hAnsi="Garamond"/>
        <w:noProof/>
        <w:sz w:val="20"/>
      </w:rPr>
      <w:t>1</w:t>
    </w:r>
    <w:r w:rsidR="00E847DA" w:rsidRPr="005B1600">
      <w:rPr>
        <w:rStyle w:val="PageNumber"/>
        <w:rFonts w:ascii="Garamond" w:hAnsi="Garamond"/>
        <w:sz w:val="20"/>
      </w:rPr>
      <w:fldChar w:fldCharType="end"/>
    </w:r>
  </w:p>
  <w:p w:rsidR="004851A7" w:rsidRDefault="00485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A7" w:rsidRDefault="004851A7" w:rsidP="00DC7447">
      <w:r>
        <w:separator/>
      </w:r>
    </w:p>
  </w:footnote>
  <w:footnote w:type="continuationSeparator" w:id="0">
    <w:p w:rsidR="004851A7" w:rsidRDefault="004851A7" w:rsidP="00DC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91C60"/>
    <w:multiLevelType w:val="multilevel"/>
    <w:tmpl w:val="05421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8EC674A"/>
    <w:multiLevelType w:val="hybridMultilevel"/>
    <w:tmpl w:val="7E1C6B4C"/>
    <w:lvl w:ilvl="0" w:tplc="FFFFFFF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42A0E"/>
    <w:multiLevelType w:val="hybridMultilevel"/>
    <w:tmpl w:val="30CA18F2"/>
    <w:lvl w:ilvl="0" w:tplc="FFFFFFFF">
      <w:start w:val="1"/>
      <w:numFmt w:val="decimal"/>
      <w:lvlText w:val="%1."/>
      <w:lvlJc w:val="left"/>
      <w:pPr>
        <w:tabs>
          <w:tab w:val="num" w:pos="360"/>
        </w:tabs>
        <w:ind w:left="360" w:hanging="360"/>
      </w:pPr>
      <w:rPr>
        <w:b/>
      </w:rPr>
    </w:lvl>
    <w:lvl w:ilvl="1" w:tplc="FFFFFFFF">
      <w:start w:val="1"/>
      <w:numFmt w:val="decimal"/>
      <w:lvlText w:val="%2."/>
      <w:lvlJc w:val="left"/>
      <w:pPr>
        <w:tabs>
          <w:tab w:val="num" w:pos="1080"/>
        </w:tabs>
        <w:ind w:left="1080" w:hanging="360"/>
      </w:pPr>
    </w:lvl>
    <w:lvl w:ilvl="2" w:tplc="FFFFFFFF">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9E4232F"/>
    <w:multiLevelType w:val="hybridMultilevel"/>
    <w:tmpl w:val="05421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F7FA0"/>
    <w:multiLevelType w:val="hybridMultilevel"/>
    <w:tmpl w:val="059470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81CDD"/>
    <w:multiLevelType w:val="hybridMultilevel"/>
    <w:tmpl w:val="125CD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AB0F28"/>
    <w:multiLevelType w:val="hybridMultilevel"/>
    <w:tmpl w:val="10E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340B0"/>
    <w:multiLevelType w:val="hybridMultilevel"/>
    <w:tmpl w:val="A48E4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8C6DD7"/>
    <w:multiLevelType w:val="hybridMultilevel"/>
    <w:tmpl w:val="05421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327AB"/>
    <w:multiLevelType w:val="multilevel"/>
    <w:tmpl w:val="8DAEC1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0B60BED"/>
    <w:multiLevelType w:val="multilevel"/>
    <w:tmpl w:val="05421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15F0069"/>
    <w:multiLevelType w:val="hybridMultilevel"/>
    <w:tmpl w:val="CEB6C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233B34"/>
    <w:multiLevelType w:val="hybridMultilevel"/>
    <w:tmpl w:val="4CE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32BE2"/>
    <w:multiLevelType w:val="hybridMultilevel"/>
    <w:tmpl w:val="7860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720"/>
    <w:multiLevelType w:val="hybridMultilevel"/>
    <w:tmpl w:val="FC90D0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739DB"/>
    <w:multiLevelType w:val="multilevel"/>
    <w:tmpl w:val="05421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3D11DF"/>
    <w:multiLevelType w:val="hybridMultilevel"/>
    <w:tmpl w:val="01820F8A"/>
    <w:lvl w:ilvl="0" w:tplc="FE3AA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E1550"/>
    <w:multiLevelType w:val="hybridMultilevel"/>
    <w:tmpl w:val="01820F8A"/>
    <w:lvl w:ilvl="0" w:tplc="FE3AA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21BE0"/>
    <w:multiLevelType w:val="hybridMultilevel"/>
    <w:tmpl w:val="147AFCCC"/>
    <w:lvl w:ilvl="0" w:tplc="A886B8B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81677"/>
    <w:multiLevelType w:val="multilevel"/>
    <w:tmpl w:val="25A0D4F8"/>
    <w:lvl w:ilvl="0">
      <w:start w:val="1"/>
      <w:numFmt w:val="lowerLetter"/>
      <w:lvlText w:val="%1)"/>
      <w:lvlJc w:val="left"/>
      <w:pPr>
        <w:ind w:left="1080" w:hanging="360"/>
      </w:pPr>
      <w:rPr>
        <w:rFonts w:ascii="Garamond" w:hAnsi="Garamond"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0D14976"/>
    <w:multiLevelType w:val="multilevel"/>
    <w:tmpl w:val="10EA6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53173C"/>
    <w:multiLevelType w:val="multilevel"/>
    <w:tmpl w:val="059470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3957C0B"/>
    <w:multiLevelType w:val="multilevel"/>
    <w:tmpl w:val="30CA18F2"/>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68C1AC3"/>
    <w:multiLevelType w:val="hybridMultilevel"/>
    <w:tmpl w:val="EF5A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A68F2"/>
    <w:multiLevelType w:val="hybridMultilevel"/>
    <w:tmpl w:val="BEC88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A61CAF"/>
    <w:multiLevelType w:val="multilevel"/>
    <w:tmpl w:val="8DAEC1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1DA6E64"/>
    <w:multiLevelType w:val="hybridMultilevel"/>
    <w:tmpl w:val="4DAE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B45EA"/>
    <w:multiLevelType w:val="hybridMultilevel"/>
    <w:tmpl w:val="10E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664E"/>
    <w:multiLevelType w:val="hybridMultilevel"/>
    <w:tmpl w:val="10E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00A67"/>
    <w:multiLevelType w:val="hybridMultilevel"/>
    <w:tmpl w:val="8DAEC1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055A8A"/>
    <w:multiLevelType w:val="hybridMultilevel"/>
    <w:tmpl w:val="500AE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5836F5"/>
    <w:multiLevelType w:val="hybridMultilevel"/>
    <w:tmpl w:val="420A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37A74"/>
    <w:multiLevelType w:val="hybridMultilevel"/>
    <w:tmpl w:val="05421D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871D16"/>
    <w:multiLevelType w:val="hybridMultilevel"/>
    <w:tmpl w:val="4CE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D28CD"/>
    <w:multiLevelType w:val="hybridMultilevel"/>
    <w:tmpl w:val="E194A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0D5CB2"/>
    <w:multiLevelType w:val="hybridMultilevel"/>
    <w:tmpl w:val="25A0D4F8"/>
    <w:lvl w:ilvl="0" w:tplc="BE00BE90">
      <w:start w:val="1"/>
      <w:numFmt w:val="lowerLetter"/>
      <w:lvlText w:val="%1)"/>
      <w:lvlJc w:val="left"/>
      <w:pPr>
        <w:ind w:left="1080" w:hanging="360"/>
      </w:pPr>
      <w:rPr>
        <w:rFonts w:ascii="Garamond" w:hAnsi="Garamond"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2900B0"/>
    <w:multiLevelType w:val="multilevel"/>
    <w:tmpl w:val="802ED9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14B1601"/>
    <w:multiLevelType w:val="multilevel"/>
    <w:tmpl w:val="E194A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3332EFF"/>
    <w:multiLevelType w:val="hybridMultilevel"/>
    <w:tmpl w:val="A016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255E89"/>
    <w:multiLevelType w:val="hybridMultilevel"/>
    <w:tmpl w:val="11D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F2774"/>
    <w:multiLevelType w:val="hybridMultilevel"/>
    <w:tmpl w:val="0816B1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286EED"/>
    <w:multiLevelType w:val="hybridMultilevel"/>
    <w:tmpl w:val="896A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E955F7"/>
    <w:multiLevelType w:val="hybridMultilevel"/>
    <w:tmpl w:val="F860FF5E"/>
    <w:lvl w:ilvl="0" w:tplc="F2E6F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A7C36BF"/>
    <w:multiLevelType w:val="hybridMultilevel"/>
    <w:tmpl w:val="F4FAE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EA30278"/>
    <w:multiLevelType w:val="multilevel"/>
    <w:tmpl w:val="147AFCCC"/>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4"/>
  </w:num>
  <w:num w:numId="3">
    <w:abstractNumId w:val="28"/>
  </w:num>
  <w:num w:numId="4">
    <w:abstractNumId w:val="33"/>
  </w:num>
  <w:num w:numId="5">
    <w:abstractNumId w:val="3"/>
  </w:num>
  <w:num w:numId="6">
    <w:abstractNumId w:val="12"/>
  </w:num>
  <w:num w:numId="7">
    <w:abstractNumId w:val="20"/>
  </w:num>
  <w:num w:numId="8">
    <w:abstractNumId w:val="45"/>
  </w:num>
  <w:num w:numId="9">
    <w:abstractNumId w:val="37"/>
  </w:num>
  <w:num w:numId="10">
    <w:abstractNumId w:val="46"/>
  </w:num>
  <w:num w:numId="11">
    <w:abstractNumId w:val="30"/>
  </w:num>
  <w:num w:numId="12">
    <w:abstractNumId w:val="29"/>
  </w:num>
  <w:num w:numId="13">
    <w:abstractNumId w:val="24"/>
  </w:num>
  <w:num w:numId="14">
    <w:abstractNumId w:val="2"/>
  </w:num>
  <w:num w:numId="15">
    <w:abstractNumId w:val="43"/>
  </w:num>
  <w:num w:numId="16">
    <w:abstractNumId w:val="7"/>
  </w:num>
  <w:num w:numId="17">
    <w:abstractNumId w:val="26"/>
  </w:num>
  <w:num w:numId="18">
    <w:abstractNumId w:val="36"/>
  </w:num>
  <w:num w:numId="19">
    <w:abstractNumId w:val="39"/>
  </w:num>
  <w:num w:numId="20">
    <w:abstractNumId w:val="31"/>
  </w:num>
  <w:num w:numId="21">
    <w:abstractNumId w:val="10"/>
  </w:num>
  <w:num w:numId="22">
    <w:abstractNumId w:val="5"/>
  </w:num>
  <w:num w:numId="23">
    <w:abstractNumId w:val="23"/>
  </w:num>
  <w:num w:numId="24">
    <w:abstractNumId w:val="4"/>
  </w:num>
  <w:num w:numId="25">
    <w:abstractNumId w:val="27"/>
  </w:num>
  <w:num w:numId="26">
    <w:abstractNumId w:val="16"/>
  </w:num>
  <w:num w:numId="27">
    <w:abstractNumId w:val="17"/>
  </w:num>
  <w:num w:numId="28">
    <w:abstractNumId w:val="32"/>
  </w:num>
  <w:num w:numId="29">
    <w:abstractNumId w:val="22"/>
  </w:num>
  <w:num w:numId="30">
    <w:abstractNumId w:val="41"/>
  </w:num>
  <w:num w:numId="31">
    <w:abstractNumId w:val="21"/>
  </w:num>
  <w:num w:numId="32">
    <w:abstractNumId w:val="42"/>
  </w:num>
  <w:num w:numId="33">
    <w:abstractNumId w:val="38"/>
  </w:num>
  <w:num w:numId="34">
    <w:abstractNumId w:val="15"/>
  </w:num>
  <w:num w:numId="35">
    <w:abstractNumId w:val="35"/>
  </w:num>
  <w:num w:numId="36">
    <w:abstractNumId w:val="25"/>
  </w:num>
  <w:num w:numId="37">
    <w:abstractNumId w:val="6"/>
  </w:num>
  <w:num w:numId="38">
    <w:abstractNumId w:val="8"/>
  </w:num>
  <w:num w:numId="39">
    <w:abstractNumId w:val="13"/>
  </w:num>
  <w:num w:numId="40">
    <w:abstractNumId w:val="19"/>
  </w:num>
  <w:num w:numId="41">
    <w:abstractNumId w:val="18"/>
  </w:num>
  <w:num w:numId="42">
    <w:abstractNumId w:val="9"/>
  </w:num>
  <w:num w:numId="43">
    <w:abstractNumId w:val="1"/>
  </w:num>
  <w:num w:numId="44">
    <w:abstractNumId w:val="34"/>
  </w:num>
  <w:num w:numId="45">
    <w:abstractNumId w:val="11"/>
  </w:num>
  <w:num w:numId="46">
    <w:abstractNumId w:val="4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E8"/>
    <w:rsid w:val="00001BC5"/>
    <w:rsid w:val="00007143"/>
    <w:rsid w:val="0005269C"/>
    <w:rsid w:val="00064A1D"/>
    <w:rsid w:val="00066AC1"/>
    <w:rsid w:val="00077F2B"/>
    <w:rsid w:val="000931A3"/>
    <w:rsid w:val="00093223"/>
    <w:rsid w:val="00093887"/>
    <w:rsid w:val="000B7B31"/>
    <w:rsid w:val="000C49EC"/>
    <w:rsid w:val="000C7434"/>
    <w:rsid w:val="000D063B"/>
    <w:rsid w:val="000D22B0"/>
    <w:rsid w:val="000D28B7"/>
    <w:rsid w:val="000E289D"/>
    <w:rsid w:val="000E3F30"/>
    <w:rsid w:val="001028B9"/>
    <w:rsid w:val="00106ED3"/>
    <w:rsid w:val="00115DA5"/>
    <w:rsid w:val="00130678"/>
    <w:rsid w:val="00133C08"/>
    <w:rsid w:val="0014309B"/>
    <w:rsid w:val="00147CC8"/>
    <w:rsid w:val="00170AC6"/>
    <w:rsid w:val="00194244"/>
    <w:rsid w:val="001A2F96"/>
    <w:rsid w:val="001A6C8B"/>
    <w:rsid w:val="001B0AB6"/>
    <w:rsid w:val="001B3764"/>
    <w:rsid w:val="001E167B"/>
    <w:rsid w:val="001E62FE"/>
    <w:rsid w:val="001F321D"/>
    <w:rsid w:val="001F5C79"/>
    <w:rsid w:val="00221433"/>
    <w:rsid w:val="0023066B"/>
    <w:rsid w:val="002744A0"/>
    <w:rsid w:val="00280ADD"/>
    <w:rsid w:val="002A272D"/>
    <w:rsid w:val="002A6F32"/>
    <w:rsid w:val="002B129A"/>
    <w:rsid w:val="002B7290"/>
    <w:rsid w:val="002C6CB5"/>
    <w:rsid w:val="002C7AEB"/>
    <w:rsid w:val="002E0F1E"/>
    <w:rsid w:val="002E1B66"/>
    <w:rsid w:val="002E6E6E"/>
    <w:rsid w:val="00303AD3"/>
    <w:rsid w:val="00322D1D"/>
    <w:rsid w:val="00355596"/>
    <w:rsid w:val="0036772F"/>
    <w:rsid w:val="003835C2"/>
    <w:rsid w:val="003871A0"/>
    <w:rsid w:val="003879CD"/>
    <w:rsid w:val="003A4A42"/>
    <w:rsid w:val="003A6EE7"/>
    <w:rsid w:val="003B0D2D"/>
    <w:rsid w:val="003B2120"/>
    <w:rsid w:val="003B7236"/>
    <w:rsid w:val="003C5022"/>
    <w:rsid w:val="003D6D9E"/>
    <w:rsid w:val="003F016F"/>
    <w:rsid w:val="003F1D2D"/>
    <w:rsid w:val="003F3F1E"/>
    <w:rsid w:val="003F4B36"/>
    <w:rsid w:val="004029F1"/>
    <w:rsid w:val="00402D18"/>
    <w:rsid w:val="0040337F"/>
    <w:rsid w:val="0040563F"/>
    <w:rsid w:val="00405F8E"/>
    <w:rsid w:val="00433F16"/>
    <w:rsid w:val="00433FAC"/>
    <w:rsid w:val="004340C3"/>
    <w:rsid w:val="00440575"/>
    <w:rsid w:val="00444BE0"/>
    <w:rsid w:val="00446DBB"/>
    <w:rsid w:val="00452163"/>
    <w:rsid w:val="00463F21"/>
    <w:rsid w:val="004646FF"/>
    <w:rsid w:val="004650E9"/>
    <w:rsid w:val="00465A3E"/>
    <w:rsid w:val="0047085C"/>
    <w:rsid w:val="004839CC"/>
    <w:rsid w:val="004851A7"/>
    <w:rsid w:val="004875E8"/>
    <w:rsid w:val="00494E03"/>
    <w:rsid w:val="004A2975"/>
    <w:rsid w:val="004B0BC1"/>
    <w:rsid w:val="004B4720"/>
    <w:rsid w:val="004D3BC9"/>
    <w:rsid w:val="004F1AAA"/>
    <w:rsid w:val="004F5126"/>
    <w:rsid w:val="005036F8"/>
    <w:rsid w:val="00516001"/>
    <w:rsid w:val="00522703"/>
    <w:rsid w:val="00524F0B"/>
    <w:rsid w:val="00546BC2"/>
    <w:rsid w:val="00552A65"/>
    <w:rsid w:val="0056141F"/>
    <w:rsid w:val="0056454B"/>
    <w:rsid w:val="005818CA"/>
    <w:rsid w:val="0059201C"/>
    <w:rsid w:val="005961ED"/>
    <w:rsid w:val="005A46A5"/>
    <w:rsid w:val="005B1600"/>
    <w:rsid w:val="005B2ECA"/>
    <w:rsid w:val="005D66BB"/>
    <w:rsid w:val="005E47DE"/>
    <w:rsid w:val="005E5DB3"/>
    <w:rsid w:val="005E6A80"/>
    <w:rsid w:val="005F027C"/>
    <w:rsid w:val="005F25D2"/>
    <w:rsid w:val="005F4DA1"/>
    <w:rsid w:val="005F79ED"/>
    <w:rsid w:val="00603A91"/>
    <w:rsid w:val="00603C9E"/>
    <w:rsid w:val="00617423"/>
    <w:rsid w:val="00624F33"/>
    <w:rsid w:val="00625452"/>
    <w:rsid w:val="006329C0"/>
    <w:rsid w:val="0064093D"/>
    <w:rsid w:val="006654A1"/>
    <w:rsid w:val="00665FD2"/>
    <w:rsid w:val="0067523D"/>
    <w:rsid w:val="0067599A"/>
    <w:rsid w:val="00675A71"/>
    <w:rsid w:val="00677E9D"/>
    <w:rsid w:val="0068209B"/>
    <w:rsid w:val="0068756E"/>
    <w:rsid w:val="00694F04"/>
    <w:rsid w:val="006A20C9"/>
    <w:rsid w:val="006A27B0"/>
    <w:rsid w:val="006A45C0"/>
    <w:rsid w:val="006A62AF"/>
    <w:rsid w:val="006E16BC"/>
    <w:rsid w:val="006F66A3"/>
    <w:rsid w:val="007016D8"/>
    <w:rsid w:val="00706B09"/>
    <w:rsid w:val="0071364D"/>
    <w:rsid w:val="007174DC"/>
    <w:rsid w:val="00731374"/>
    <w:rsid w:val="007336D4"/>
    <w:rsid w:val="00744E78"/>
    <w:rsid w:val="00760B01"/>
    <w:rsid w:val="00773184"/>
    <w:rsid w:val="0078090B"/>
    <w:rsid w:val="00790682"/>
    <w:rsid w:val="007A135A"/>
    <w:rsid w:val="007A5DC8"/>
    <w:rsid w:val="007C5CFC"/>
    <w:rsid w:val="007E3AD6"/>
    <w:rsid w:val="007E70AC"/>
    <w:rsid w:val="007F24EC"/>
    <w:rsid w:val="007F61C3"/>
    <w:rsid w:val="008254BA"/>
    <w:rsid w:val="00830B8E"/>
    <w:rsid w:val="0083513F"/>
    <w:rsid w:val="00854936"/>
    <w:rsid w:val="008570F7"/>
    <w:rsid w:val="00866EEA"/>
    <w:rsid w:val="00870546"/>
    <w:rsid w:val="0087064C"/>
    <w:rsid w:val="0087103B"/>
    <w:rsid w:val="00891C8A"/>
    <w:rsid w:val="00894F18"/>
    <w:rsid w:val="0089612A"/>
    <w:rsid w:val="00897455"/>
    <w:rsid w:val="008A35B4"/>
    <w:rsid w:val="008C0C8E"/>
    <w:rsid w:val="008E35A5"/>
    <w:rsid w:val="008F3B75"/>
    <w:rsid w:val="009052D1"/>
    <w:rsid w:val="009073CF"/>
    <w:rsid w:val="00912933"/>
    <w:rsid w:val="00914165"/>
    <w:rsid w:val="00922D63"/>
    <w:rsid w:val="00932AFA"/>
    <w:rsid w:val="00936650"/>
    <w:rsid w:val="0094245B"/>
    <w:rsid w:val="00942F77"/>
    <w:rsid w:val="00945D18"/>
    <w:rsid w:val="009478C0"/>
    <w:rsid w:val="00955A72"/>
    <w:rsid w:val="009809E2"/>
    <w:rsid w:val="009B1797"/>
    <w:rsid w:val="009B30BA"/>
    <w:rsid w:val="009D6993"/>
    <w:rsid w:val="009E203D"/>
    <w:rsid w:val="009E7B8E"/>
    <w:rsid w:val="009F2B6D"/>
    <w:rsid w:val="00A626B2"/>
    <w:rsid w:val="00A73ED0"/>
    <w:rsid w:val="00A768C5"/>
    <w:rsid w:val="00A80877"/>
    <w:rsid w:val="00A85AC5"/>
    <w:rsid w:val="00A91107"/>
    <w:rsid w:val="00AA14A3"/>
    <w:rsid w:val="00AA4E96"/>
    <w:rsid w:val="00AA69F8"/>
    <w:rsid w:val="00AB5404"/>
    <w:rsid w:val="00AC2EA2"/>
    <w:rsid w:val="00AE6A02"/>
    <w:rsid w:val="00AF0A10"/>
    <w:rsid w:val="00AF7AC7"/>
    <w:rsid w:val="00B237E8"/>
    <w:rsid w:val="00B23B7E"/>
    <w:rsid w:val="00B32BB3"/>
    <w:rsid w:val="00B3738D"/>
    <w:rsid w:val="00B436AF"/>
    <w:rsid w:val="00B5116F"/>
    <w:rsid w:val="00B556C5"/>
    <w:rsid w:val="00B65B42"/>
    <w:rsid w:val="00B80F51"/>
    <w:rsid w:val="00B82682"/>
    <w:rsid w:val="00B862D6"/>
    <w:rsid w:val="00B95071"/>
    <w:rsid w:val="00BA64CD"/>
    <w:rsid w:val="00BB2495"/>
    <w:rsid w:val="00BB5187"/>
    <w:rsid w:val="00BC2B4E"/>
    <w:rsid w:val="00BC2FD2"/>
    <w:rsid w:val="00BC6C4A"/>
    <w:rsid w:val="00BE0377"/>
    <w:rsid w:val="00BE2BF9"/>
    <w:rsid w:val="00BE4EFD"/>
    <w:rsid w:val="00BF700A"/>
    <w:rsid w:val="00BF77F0"/>
    <w:rsid w:val="00C00F4A"/>
    <w:rsid w:val="00C04847"/>
    <w:rsid w:val="00C141CA"/>
    <w:rsid w:val="00C20FE3"/>
    <w:rsid w:val="00C2368B"/>
    <w:rsid w:val="00C3133D"/>
    <w:rsid w:val="00C34AAD"/>
    <w:rsid w:val="00C44311"/>
    <w:rsid w:val="00C63E17"/>
    <w:rsid w:val="00C722D1"/>
    <w:rsid w:val="00C74739"/>
    <w:rsid w:val="00C81511"/>
    <w:rsid w:val="00C87A98"/>
    <w:rsid w:val="00CA4287"/>
    <w:rsid w:val="00CC2D6B"/>
    <w:rsid w:val="00CC76AC"/>
    <w:rsid w:val="00CD7C12"/>
    <w:rsid w:val="00CE69E4"/>
    <w:rsid w:val="00CE7C7B"/>
    <w:rsid w:val="00CF00EC"/>
    <w:rsid w:val="00D01FB7"/>
    <w:rsid w:val="00D029A4"/>
    <w:rsid w:val="00D230EE"/>
    <w:rsid w:val="00D313B7"/>
    <w:rsid w:val="00D35146"/>
    <w:rsid w:val="00D47FF4"/>
    <w:rsid w:val="00D8775C"/>
    <w:rsid w:val="00DA42A0"/>
    <w:rsid w:val="00DA6787"/>
    <w:rsid w:val="00DB3921"/>
    <w:rsid w:val="00DB3C7D"/>
    <w:rsid w:val="00DB70C9"/>
    <w:rsid w:val="00DC7447"/>
    <w:rsid w:val="00E34CA4"/>
    <w:rsid w:val="00E36DE3"/>
    <w:rsid w:val="00E3794B"/>
    <w:rsid w:val="00E44A48"/>
    <w:rsid w:val="00E66DA7"/>
    <w:rsid w:val="00E81CCA"/>
    <w:rsid w:val="00E847DA"/>
    <w:rsid w:val="00E91A9D"/>
    <w:rsid w:val="00E9649F"/>
    <w:rsid w:val="00EB7497"/>
    <w:rsid w:val="00EC1038"/>
    <w:rsid w:val="00EC5BBC"/>
    <w:rsid w:val="00EE2EB7"/>
    <w:rsid w:val="00EE63C3"/>
    <w:rsid w:val="00EE786B"/>
    <w:rsid w:val="00EF1A04"/>
    <w:rsid w:val="00F013BA"/>
    <w:rsid w:val="00F03455"/>
    <w:rsid w:val="00F6541C"/>
    <w:rsid w:val="00F66D04"/>
    <w:rsid w:val="00F7493F"/>
    <w:rsid w:val="00F75F7B"/>
    <w:rsid w:val="00F918C7"/>
    <w:rsid w:val="00FB539B"/>
    <w:rsid w:val="00FB69D9"/>
    <w:rsid w:val="00FB7A9F"/>
    <w:rsid w:val="00FC1F7F"/>
    <w:rsid w:val="00F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8A"/>
    <w:rPr>
      <w:szCs w:val="22"/>
    </w:rPr>
  </w:style>
  <w:style w:type="paragraph" w:styleId="Heading1">
    <w:name w:val="heading 1"/>
    <w:basedOn w:val="Normal"/>
    <w:next w:val="Normal"/>
    <w:link w:val="Heading1Char"/>
    <w:qFormat/>
    <w:rsid w:val="00942F77"/>
    <w:pPr>
      <w:keepNext/>
      <w:outlineLvl w:val="0"/>
    </w:pPr>
    <w:rPr>
      <w:rFonts w:eastAsia="Times New Roman"/>
      <w:b/>
      <w:sz w:val="20"/>
      <w:szCs w:val="24"/>
    </w:rPr>
  </w:style>
  <w:style w:type="paragraph" w:styleId="Heading2">
    <w:name w:val="heading 2"/>
    <w:basedOn w:val="Normal"/>
    <w:next w:val="Normal"/>
    <w:link w:val="Heading2Char"/>
    <w:qFormat/>
    <w:rsid w:val="00942F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42F77"/>
    <w:pPr>
      <w:keepNext/>
      <w:keepLines/>
      <w:spacing w:before="200"/>
      <w:outlineLvl w:val="2"/>
    </w:pPr>
    <w:rPr>
      <w:rFonts w:ascii="Cambria" w:eastAsia="Times New Roman" w:hAnsi="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 w:type="paragraph" w:styleId="BodyTextIndent">
    <w:name w:val="Body Text Indent"/>
    <w:basedOn w:val="Normal"/>
    <w:link w:val="BodyTextIndentChar"/>
    <w:rsid w:val="00942F77"/>
    <w:pPr>
      <w:ind w:left="720"/>
    </w:pPr>
    <w:rPr>
      <w:rFonts w:eastAsia="Times New Roman"/>
      <w:i/>
      <w:szCs w:val="24"/>
    </w:rPr>
  </w:style>
  <w:style w:type="character" w:customStyle="1" w:styleId="BodyTextIndentChar">
    <w:name w:val="Body Text Indent Char"/>
    <w:basedOn w:val="DefaultParagraphFont"/>
    <w:link w:val="BodyTextIndent"/>
    <w:rsid w:val="00942F77"/>
    <w:rPr>
      <w:rFonts w:eastAsia="Times New Roman"/>
      <w:i/>
      <w:sz w:val="24"/>
      <w:szCs w:val="24"/>
    </w:rPr>
  </w:style>
  <w:style w:type="paragraph" w:customStyle="1" w:styleId="ColorfulList-Accent11">
    <w:name w:val="Colorful List - Accent 11"/>
    <w:basedOn w:val="Normal"/>
    <w:uiPriority w:val="34"/>
    <w:qFormat/>
    <w:rsid w:val="00942F77"/>
    <w:pPr>
      <w:ind w:left="720"/>
    </w:pPr>
    <w:rPr>
      <w:rFonts w:eastAsia="Times New Roman"/>
      <w:szCs w:val="24"/>
    </w:rPr>
  </w:style>
  <w:style w:type="paragraph" w:styleId="BodyTextIndent2">
    <w:name w:val="Body Text Indent 2"/>
    <w:basedOn w:val="Normal"/>
    <w:link w:val="BodyTextIndent2Char"/>
    <w:rsid w:val="00942F77"/>
    <w:pPr>
      <w:spacing w:after="120" w:line="480" w:lineRule="auto"/>
      <w:ind w:left="360"/>
    </w:pPr>
    <w:rPr>
      <w:rFonts w:ascii="Times" w:eastAsia="Times" w:hAnsi="Times"/>
      <w:szCs w:val="24"/>
    </w:rPr>
  </w:style>
  <w:style w:type="character" w:customStyle="1" w:styleId="BodyTextIndent2Char">
    <w:name w:val="Body Text Indent 2 Char"/>
    <w:basedOn w:val="DefaultParagraphFont"/>
    <w:link w:val="BodyTextIndent2"/>
    <w:rsid w:val="00942F77"/>
    <w:rPr>
      <w:rFonts w:ascii="Times" w:eastAsia="Times" w:hAnsi="Times"/>
      <w:sz w:val="24"/>
      <w:szCs w:val="24"/>
    </w:rPr>
  </w:style>
  <w:style w:type="paragraph" w:styleId="HTMLPreformatted">
    <w:name w:val="HTML Preformatted"/>
    <w:basedOn w:val="Normal"/>
    <w:link w:val="HTMLPreformattedChar"/>
    <w:uiPriority w:val="99"/>
    <w:rsid w:val="0094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rPr>
  </w:style>
  <w:style w:type="character" w:customStyle="1" w:styleId="HTMLPreformattedChar">
    <w:name w:val="HTML Preformatted Char"/>
    <w:basedOn w:val="DefaultParagraphFont"/>
    <w:link w:val="HTMLPreformatted"/>
    <w:uiPriority w:val="99"/>
    <w:rsid w:val="00942F77"/>
    <w:rPr>
      <w:rFonts w:ascii="Courier New" w:eastAsia="Times New Roman" w:hAnsi="Courier New" w:cs="Courier New"/>
      <w:sz w:val="24"/>
      <w:szCs w:val="24"/>
    </w:rPr>
  </w:style>
  <w:style w:type="paragraph" w:styleId="BodyText">
    <w:name w:val="Body Text"/>
    <w:basedOn w:val="Normal"/>
    <w:link w:val="BodyTextChar"/>
    <w:uiPriority w:val="99"/>
    <w:semiHidden/>
    <w:unhideWhenUsed/>
    <w:rsid w:val="00942F77"/>
    <w:pPr>
      <w:spacing w:after="120"/>
    </w:pPr>
  </w:style>
  <w:style w:type="character" w:customStyle="1" w:styleId="BodyTextChar">
    <w:name w:val="Body Text Char"/>
    <w:basedOn w:val="DefaultParagraphFont"/>
    <w:link w:val="BodyText"/>
    <w:uiPriority w:val="99"/>
    <w:semiHidden/>
    <w:rsid w:val="00942F77"/>
    <w:rPr>
      <w:sz w:val="24"/>
      <w:szCs w:val="22"/>
    </w:rPr>
  </w:style>
  <w:style w:type="character" w:customStyle="1" w:styleId="Heading1Char">
    <w:name w:val="Heading 1 Char"/>
    <w:basedOn w:val="DefaultParagraphFont"/>
    <w:link w:val="Heading1"/>
    <w:rsid w:val="00942F77"/>
    <w:rPr>
      <w:rFonts w:eastAsia="Times New Roman"/>
      <w:b/>
      <w:szCs w:val="24"/>
    </w:rPr>
  </w:style>
  <w:style w:type="character" w:customStyle="1" w:styleId="Heading2Char">
    <w:name w:val="Heading 2 Char"/>
    <w:basedOn w:val="DefaultParagraphFont"/>
    <w:link w:val="Heading2"/>
    <w:rsid w:val="00942F77"/>
    <w:rPr>
      <w:rFonts w:ascii="Cambria" w:eastAsia="Times New Roman" w:hAnsi="Cambria"/>
      <w:b/>
      <w:bCs/>
      <w:color w:val="4F81BD"/>
      <w:sz w:val="26"/>
      <w:szCs w:val="26"/>
    </w:rPr>
  </w:style>
  <w:style w:type="character" w:customStyle="1" w:styleId="Heading3Char">
    <w:name w:val="Heading 3 Char"/>
    <w:basedOn w:val="DefaultParagraphFont"/>
    <w:link w:val="Heading3"/>
    <w:rsid w:val="00942F77"/>
    <w:rPr>
      <w:rFonts w:ascii="Cambria" w:eastAsia="Times New Roman" w:hAnsi="Cambria"/>
      <w:b/>
      <w:bCs/>
      <w:color w:val="4F81BD"/>
      <w:sz w:val="24"/>
      <w:szCs w:val="24"/>
    </w:rPr>
  </w:style>
  <w:style w:type="character" w:styleId="PageNumber">
    <w:name w:val="page number"/>
    <w:basedOn w:val="DefaultParagraphFont"/>
    <w:rsid w:val="005B1600"/>
  </w:style>
  <w:style w:type="table" w:styleId="TableGrid">
    <w:name w:val="Table Grid"/>
    <w:basedOn w:val="TableNormal"/>
    <w:uiPriority w:val="59"/>
    <w:rsid w:val="006E16B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8A"/>
    <w:rPr>
      <w:szCs w:val="22"/>
    </w:rPr>
  </w:style>
  <w:style w:type="paragraph" w:styleId="Heading1">
    <w:name w:val="heading 1"/>
    <w:basedOn w:val="Normal"/>
    <w:next w:val="Normal"/>
    <w:link w:val="Heading1Char"/>
    <w:qFormat/>
    <w:rsid w:val="00942F77"/>
    <w:pPr>
      <w:keepNext/>
      <w:outlineLvl w:val="0"/>
    </w:pPr>
    <w:rPr>
      <w:rFonts w:eastAsia="Times New Roman"/>
      <w:b/>
      <w:sz w:val="20"/>
      <w:szCs w:val="24"/>
    </w:rPr>
  </w:style>
  <w:style w:type="paragraph" w:styleId="Heading2">
    <w:name w:val="heading 2"/>
    <w:basedOn w:val="Normal"/>
    <w:next w:val="Normal"/>
    <w:link w:val="Heading2Char"/>
    <w:qFormat/>
    <w:rsid w:val="00942F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42F77"/>
    <w:pPr>
      <w:keepNext/>
      <w:keepLines/>
      <w:spacing w:before="200"/>
      <w:outlineLvl w:val="2"/>
    </w:pPr>
    <w:rPr>
      <w:rFonts w:ascii="Cambria" w:eastAsia="Times New Roman" w:hAnsi="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 w:type="paragraph" w:styleId="BodyTextIndent">
    <w:name w:val="Body Text Indent"/>
    <w:basedOn w:val="Normal"/>
    <w:link w:val="BodyTextIndentChar"/>
    <w:rsid w:val="00942F77"/>
    <w:pPr>
      <w:ind w:left="720"/>
    </w:pPr>
    <w:rPr>
      <w:rFonts w:eastAsia="Times New Roman"/>
      <w:i/>
      <w:szCs w:val="24"/>
    </w:rPr>
  </w:style>
  <w:style w:type="character" w:customStyle="1" w:styleId="BodyTextIndentChar">
    <w:name w:val="Body Text Indent Char"/>
    <w:basedOn w:val="DefaultParagraphFont"/>
    <w:link w:val="BodyTextIndent"/>
    <w:rsid w:val="00942F77"/>
    <w:rPr>
      <w:rFonts w:eastAsia="Times New Roman"/>
      <w:i/>
      <w:sz w:val="24"/>
      <w:szCs w:val="24"/>
    </w:rPr>
  </w:style>
  <w:style w:type="paragraph" w:customStyle="1" w:styleId="ColorfulList-Accent11">
    <w:name w:val="Colorful List - Accent 11"/>
    <w:basedOn w:val="Normal"/>
    <w:uiPriority w:val="34"/>
    <w:qFormat/>
    <w:rsid w:val="00942F77"/>
    <w:pPr>
      <w:ind w:left="720"/>
    </w:pPr>
    <w:rPr>
      <w:rFonts w:eastAsia="Times New Roman"/>
      <w:szCs w:val="24"/>
    </w:rPr>
  </w:style>
  <w:style w:type="paragraph" w:styleId="BodyTextIndent2">
    <w:name w:val="Body Text Indent 2"/>
    <w:basedOn w:val="Normal"/>
    <w:link w:val="BodyTextIndent2Char"/>
    <w:rsid w:val="00942F77"/>
    <w:pPr>
      <w:spacing w:after="120" w:line="480" w:lineRule="auto"/>
      <w:ind w:left="360"/>
    </w:pPr>
    <w:rPr>
      <w:rFonts w:ascii="Times" w:eastAsia="Times" w:hAnsi="Times"/>
      <w:szCs w:val="24"/>
    </w:rPr>
  </w:style>
  <w:style w:type="character" w:customStyle="1" w:styleId="BodyTextIndent2Char">
    <w:name w:val="Body Text Indent 2 Char"/>
    <w:basedOn w:val="DefaultParagraphFont"/>
    <w:link w:val="BodyTextIndent2"/>
    <w:rsid w:val="00942F77"/>
    <w:rPr>
      <w:rFonts w:ascii="Times" w:eastAsia="Times" w:hAnsi="Times"/>
      <w:sz w:val="24"/>
      <w:szCs w:val="24"/>
    </w:rPr>
  </w:style>
  <w:style w:type="paragraph" w:styleId="HTMLPreformatted">
    <w:name w:val="HTML Preformatted"/>
    <w:basedOn w:val="Normal"/>
    <w:link w:val="HTMLPreformattedChar"/>
    <w:uiPriority w:val="99"/>
    <w:rsid w:val="0094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rPr>
  </w:style>
  <w:style w:type="character" w:customStyle="1" w:styleId="HTMLPreformattedChar">
    <w:name w:val="HTML Preformatted Char"/>
    <w:basedOn w:val="DefaultParagraphFont"/>
    <w:link w:val="HTMLPreformatted"/>
    <w:uiPriority w:val="99"/>
    <w:rsid w:val="00942F77"/>
    <w:rPr>
      <w:rFonts w:ascii="Courier New" w:eastAsia="Times New Roman" w:hAnsi="Courier New" w:cs="Courier New"/>
      <w:sz w:val="24"/>
      <w:szCs w:val="24"/>
    </w:rPr>
  </w:style>
  <w:style w:type="paragraph" w:styleId="BodyText">
    <w:name w:val="Body Text"/>
    <w:basedOn w:val="Normal"/>
    <w:link w:val="BodyTextChar"/>
    <w:uiPriority w:val="99"/>
    <w:semiHidden/>
    <w:unhideWhenUsed/>
    <w:rsid w:val="00942F77"/>
    <w:pPr>
      <w:spacing w:after="120"/>
    </w:pPr>
  </w:style>
  <w:style w:type="character" w:customStyle="1" w:styleId="BodyTextChar">
    <w:name w:val="Body Text Char"/>
    <w:basedOn w:val="DefaultParagraphFont"/>
    <w:link w:val="BodyText"/>
    <w:uiPriority w:val="99"/>
    <w:semiHidden/>
    <w:rsid w:val="00942F77"/>
    <w:rPr>
      <w:sz w:val="24"/>
      <w:szCs w:val="22"/>
    </w:rPr>
  </w:style>
  <w:style w:type="character" w:customStyle="1" w:styleId="Heading1Char">
    <w:name w:val="Heading 1 Char"/>
    <w:basedOn w:val="DefaultParagraphFont"/>
    <w:link w:val="Heading1"/>
    <w:rsid w:val="00942F77"/>
    <w:rPr>
      <w:rFonts w:eastAsia="Times New Roman"/>
      <w:b/>
      <w:szCs w:val="24"/>
    </w:rPr>
  </w:style>
  <w:style w:type="character" w:customStyle="1" w:styleId="Heading2Char">
    <w:name w:val="Heading 2 Char"/>
    <w:basedOn w:val="DefaultParagraphFont"/>
    <w:link w:val="Heading2"/>
    <w:rsid w:val="00942F77"/>
    <w:rPr>
      <w:rFonts w:ascii="Cambria" w:eastAsia="Times New Roman" w:hAnsi="Cambria"/>
      <w:b/>
      <w:bCs/>
      <w:color w:val="4F81BD"/>
      <w:sz w:val="26"/>
      <w:szCs w:val="26"/>
    </w:rPr>
  </w:style>
  <w:style w:type="character" w:customStyle="1" w:styleId="Heading3Char">
    <w:name w:val="Heading 3 Char"/>
    <w:basedOn w:val="DefaultParagraphFont"/>
    <w:link w:val="Heading3"/>
    <w:rsid w:val="00942F77"/>
    <w:rPr>
      <w:rFonts w:ascii="Cambria" w:eastAsia="Times New Roman" w:hAnsi="Cambria"/>
      <w:b/>
      <w:bCs/>
      <w:color w:val="4F81BD"/>
      <w:sz w:val="24"/>
      <w:szCs w:val="24"/>
    </w:rPr>
  </w:style>
  <w:style w:type="character" w:styleId="PageNumber">
    <w:name w:val="page number"/>
    <w:basedOn w:val="DefaultParagraphFont"/>
    <w:rsid w:val="005B1600"/>
  </w:style>
  <w:style w:type="table" w:styleId="TableGrid">
    <w:name w:val="Table Grid"/>
    <w:basedOn w:val="TableNormal"/>
    <w:uiPriority w:val="59"/>
    <w:rsid w:val="006E16B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740437">
      <w:bodyDiv w:val="1"/>
      <w:marLeft w:val="0"/>
      <w:marRight w:val="0"/>
      <w:marTop w:val="0"/>
      <w:marBottom w:val="0"/>
      <w:divBdr>
        <w:top w:val="none" w:sz="0" w:space="0" w:color="auto"/>
        <w:left w:val="none" w:sz="0" w:space="0" w:color="auto"/>
        <w:bottom w:val="none" w:sz="0" w:space="0" w:color="auto"/>
        <w:right w:val="none" w:sz="0" w:space="0" w:color="auto"/>
      </w:divBdr>
      <w:divsChild>
        <w:div w:id="880557730">
          <w:marLeft w:val="0"/>
          <w:marRight w:val="0"/>
          <w:marTop w:val="0"/>
          <w:marBottom w:val="0"/>
          <w:divBdr>
            <w:top w:val="none" w:sz="0" w:space="0" w:color="auto"/>
            <w:left w:val="none" w:sz="0" w:space="0" w:color="auto"/>
            <w:bottom w:val="none" w:sz="0" w:space="0" w:color="auto"/>
            <w:right w:val="none" w:sz="0" w:space="0" w:color="auto"/>
          </w:divBdr>
          <w:divsChild>
            <w:div w:id="10681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academic/research/index.html" TargetMode="External"/><Relationship Id="rId13" Type="http://schemas.openxmlformats.org/officeDocument/2006/relationships/hyperlink" Target="http://grants.intrasun.tcnj.edu/compliance/anim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cnj.edu/~ir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cnj.edu/~academic/research/index.html" TargetMode="External"/><Relationship Id="rId10" Type="http://schemas.openxmlformats.org/officeDocument/2006/relationships/hyperlink" Target="http://grants.intrasun.tcnj.edu/compliance/animal.html" TargetMode="External"/><Relationship Id="rId4" Type="http://schemas.openxmlformats.org/officeDocument/2006/relationships/settings" Target="settings.xml"/><Relationship Id="rId9" Type="http://schemas.openxmlformats.org/officeDocument/2006/relationships/hyperlink" Target="http://www.tcnj.edu/~irb/" TargetMode="External"/><Relationship Id="rId14" Type="http://schemas.openxmlformats.org/officeDocument/2006/relationships/hyperlink" Target="http://www.tcnj.edu/~academic/resear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8534</Words>
  <Characters>48644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57064</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2</cp:revision>
  <cp:lastPrinted>2011-05-06T18:36:00Z</cp:lastPrinted>
  <dcterms:created xsi:type="dcterms:W3CDTF">2011-06-07T15:05:00Z</dcterms:created>
  <dcterms:modified xsi:type="dcterms:W3CDTF">2011-06-07T15:05:00Z</dcterms:modified>
</cp:coreProperties>
</file>