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FE" w:rsidRDefault="00810B0F" w:rsidP="00810B0F">
      <w:pPr>
        <w:rPr>
          <w:b/>
        </w:rPr>
      </w:pPr>
      <w:r>
        <w:rPr>
          <w:b/>
        </w:rPr>
        <w:t xml:space="preserve">To:  </w:t>
      </w:r>
      <w:r>
        <w:rPr>
          <w:b/>
        </w:rPr>
        <w:tab/>
        <w:t>Committee on Academic Programs</w:t>
      </w:r>
    </w:p>
    <w:p w:rsidR="00810B0F" w:rsidRDefault="00810B0F" w:rsidP="00810B0F">
      <w:pPr>
        <w:rPr>
          <w:b/>
        </w:rPr>
      </w:pPr>
    </w:p>
    <w:p w:rsidR="00810B0F" w:rsidRDefault="00810B0F" w:rsidP="00810B0F">
      <w:pPr>
        <w:rPr>
          <w:b/>
        </w:rPr>
      </w:pPr>
      <w:r>
        <w:rPr>
          <w:b/>
        </w:rPr>
        <w:t>From:  Steering Committee</w:t>
      </w:r>
    </w:p>
    <w:p w:rsidR="00810B0F" w:rsidRDefault="00810B0F" w:rsidP="00810B0F">
      <w:pPr>
        <w:rPr>
          <w:b/>
        </w:rPr>
      </w:pPr>
    </w:p>
    <w:p w:rsidR="00810B0F" w:rsidRDefault="00810B0F" w:rsidP="00810B0F">
      <w:pPr>
        <w:rPr>
          <w:b/>
        </w:rPr>
      </w:pPr>
      <w:r>
        <w:rPr>
          <w:b/>
        </w:rPr>
        <w:t xml:space="preserve">Re:  </w:t>
      </w:r>
      <w:r>
        <w:rPr>
          <w:b/>
        </w:rPr>
        <w:tab/>
        <w:t>Retention of Examinations and Other Student Work</w:t>
      </w:r>
    </w:p>
    <w:p w:rsidR="00810B0F" w:rsidRDefault="00810B0F" w:rsidP="00810B0F">
      <w:pPr>
        <w:rPr>
          <w:b/>
        </w:rPr>
      </w:pPr>
    </w:p>
    <w:p w:rsidR="00810B0F" w:rsidRPr="00810B0F" w:rsidRDefault="00810B0F" w:rsidP="00810B0F">
      <w:pPr>
        <w:rPr>
          <w:b/>
        </w:rPr>
      </w:pPr>
      <w:r>
        <w:rPr>
          <w:b/>
        </w:rPr>
        <w:t>Date:</w:t>
      </w:r>
      <w:r>
        <w:rPr>
          <w:b/>
        </w:rPr>
        <w:tab/>
        <w:t>February 6, 2012</w:t>
      </w:r>
      <w:bookmarkStart w:id="0" w:name="_GoBack"/>
      <w:bookmarkEnd w:id="0"/>
    </w:p>
    <w:p w:rsidR="001A2CFE" w:rsidRDefault="001A2CFE" w:rsidP="001A2CFE">
      <w:r>
        <w:t xml:space="preserve"> </w:t>
      </w:r>
    </w:p>
    <w:p w:rsidR="001A2CFE" w:rsidRPr="00E4169B" w:rsidRDefault="001A2CFE" w:rsidP="001A2CFE">
      <w:pPr>
        <w:rPr>
          <w:b/>
          <w:u w:val="single"/>
        </w:rPr>
      </w:pPr>
      <w:r>
        <w:rPr>
          <w:b/>
          <w:u w:val="single"/>
        </w:rPr>
        <w:t>Background:</w:t>
      </w:r>
    </w:p>
    <w:p w:rsidR="001A2CFE" w:rsidRDefault="001A2CFE" w:rsidP="001A2CFE">
      <w:pPr>
        <w:rPr>
          <w:rFonts w:eastAsia="Times New Roman" w:cs="Times New Roman"/>
        </w:rPr>
      </w:pPr>
      <w:r>
        <w:t xml:space="preserve">The Steering Committee recently received a message from Dr. Thomas </w:t>
      </w:r>
      <w:proofErr w:type="spellStart"/>
      <w:r>
        <w:t>Hagedorn</w:t>
      </w:r>
      <w:proofErr w:type="spellEnd"/>
      <w:r>
        <w:t xml:space="preserve"> noting that the College d</w:t>
      </w:r>
      <w:r w:rsidR="00663DC2">
        <w:t>oes</w:t>
      </w:r>
      <w:r>
        <w:t xml:space="preserve"> not have a policy on </w:t>
      </w:r>
      <w:r w:rsidRPr="00A82D0B">
        <w:rPr>
          <w:rFonts w:eastAsia="Times New Roman" w:cs="Times New Roman"/>
        </w:rPr>
        <w:t>how long faculty should keep the students' final exams and pa</w:t>
      </w:r>
      <w:r>
        <w:rPr>
          <w:rFonts w:eastAsia="Times New Roman" w:cs="Times New Roman"/>
        </w:rPr>
        <w:t>pers before disposing of them and asking that the college’s position be clarified</w:t>
      </w:r>
    </w:p>
    <w:p w:rsidR="001A2CFE" w:rsidRDefault="001A2CFE" w:rsidP="001A2CFE">
      <w:pPr>
        <w:pStyle w:val="NormalWeb"/>
      </w:pPr>
      <w:r>
        <w:t xml:space="preserve">Dr. </w:t>
      </w:r>
      <w:proofErr w:type="spellStart"/>
      <w:r>
        <w:t>Hagedorn</w:t>
      </w:r>
      <w:proofErr w:type="spellEnd"/>
      <w:r>
        <w:t xml:space="preserve"> is correct that there is no such policy.  The close</w:t>
      </w:r>
      <w:r w:rsidR="00663DC2">
        <w:t>st</w:t>
      </w:r>
      <w:r>
        <w:t xml:space="preserve"> policy we have concerns grade appeals and states, “</w:t>
      </w:r>
      <w:r w:rsidRPr="001A2CFE">
        <w:t>The statute of limitations on filing student appeals shall be one semester following the end of the semester in which the incident occurred.</w:t>
      </w:r>
      <w:r>
        <w:t xml:space="preserve">” </w:t>
      </w:r>
      <w:hyperlink r:id="rId5" w:history="1">
        <w:r w:rsidRPr="001E71D8">
          <w:rPr>
            <w:rStyle w:val="Hyperlink"/>
          </w:rPr>
          <w:t>http://www.tcnj.edu/~academic/policy/undergradcomplaint.html</w:t>
        </w:r>
      </w:hyperlink>
      <w:r>
        <w:t xml:space="preserve"> Thus this policies implies a need to keep course materials for one semester beyond</w:t>
      </w:r>
      <w:r w:rsidR="00663DC2">
        <w:t xml:space="preserve"> the completion of the course, but it does not actually make a statement about the retention of course work.</w:t>
      </w:r>
    </w:p>
    <w:p w:rsidR="001A2CFE" w:rsidRDefault="001A2CFE" w:rsidP="001A2CFE">
      <w:pPr>
        <w:rPr>
          <w:b/>
          <w:u w:val="single"/>
        </w:rPr>
      </w:pPr>
      <w:r>
        <w:rPr>
          <w:b/>
          <w:u w:val="single"/>
        </w:rPr>
        <w:t>Charge:</w:t>
      </w:r>
    </w:p>
    <w:p w:rsidR="001A2CFE" w:rsidRDefault="001A2CFE" w:rsidP="001A2CFE">
      <w:pPr>
        <w:pStyle w:val="HTMLPreformatted"/>
        <w:rPr>
          <w:rFonts w:ascii="Times New Roman" w:hAnsi="Times New Roman" w:cs="Times New Roman"/>
          <w:sz w:val="24"/>
          <w:szCs w:val="24"/>
        </w:rPr>
      </w:pPr>
      <w:r>
        <w:rPr>
          <w:rFonts w:ascii="Times New Roman" w:hAnsi="Times New Roman" w:cs="Times New Roman"/>
          <w:sz w:val="24"/>
          <w:szCs w:val="24"/>
        </w:rPr>
        <w:t>The Steering Committee asks that the Committee on Academic Programs consider whether ther</w:t>
      </w:r>
      <w:r w:rsidR="003A4FC2">
        <w:rPr>
          <w:rFonts w:ascii="Times New Roman" w:hAnsi="Times New Roman" w:cs="Times New Roman"/>
          <w:sz w:val="24"/>
          <w:szCs w:val="24"/>
        </w:rPr>
        <w:t>e</w:t>
      </w:r>
      <w:r>
        <w:rPr>
          <w:rFonts w:ascii="Times New Roman" w:hAnsi="Times New Roman" w:cs="Times New Roman"/>
          <w:sz w:val="24"/>
          <w:szCs w:val="24"/>
        </w:rPr>
        <w:t xml:space="preserve"> should be a policy requiring an instructor to retain examinations, papers, and other course </w:t>
      </w:r>
      <w:r w:rsidR="003A4FC2">
        <w:rPr>
          <w:rFonts w:ascii="Times New Roman" w:hAnsi="Times New Roman" w:cs="Times New Roman"/>
          <w:sz w:val="24"/>
          <w:szCs w:val="24"/>
        </w:rPr>
        <w:t xml:space="preserve">work </w:t>
      </w:r>
      <w:r>
        <w:rPr>
          <w:rFonts w:ascii="Times New Roman" w:hAnsi="Times New Roman" w:cs="Times New Roman"/>
          <w:sz w:val="24"/>
          <w:szCs w:val="24"/>
        </w:rPr>
        <w:t xml:space="preserve">and, if so, for how long.  Steering also asks that in making its recommendation that CAP consider the </w:t>
      </w:r>
      <w:r w:rsidR="003A4FC2">
        <w:rPr>
          <w:rFonts w:ascii="Times New Roman" w:hAnsi="Times New Roman" w:cs="Times New Roman"/>
          <w:sz w:val="24"/>
          <w:szCs w:val="24"/>
        </w:rPr>
        <w:t>value</w:t>
      </w:r>
      <w:r>
        <w:rPr>
          <w:rFonts w:ascii="Times New Roman" w:hAnsi="Times New Roman" w:cs="Times New Roman"/>
          <w:sz w:val="24"/>
          <w:szCs w:val="24"/>
        </w:rPr>
        <w:t xml:space="preserve"> of returning graded materials as a </w:t>
      </w:r>
      <w:r w:rsidR="003A4FC2">
        <w:rPr>
          <w:rFonts w:ascii="Times New Roman" w:hAnsi="Times New Roman" w:cs="Times New Roman"/>
          <w:sz w:val="24"/>
          <w:szCs w:val="24"/>
        </w:rPr>
        <w:t>form of feedback to the student and whether this should be considered in developing a policy on retaining course work.</w:t>
      </w:r>
    </w:p>
    <w:p w:rsidR="003A4FC2" w:rsidRDefault="003A4FC2" w:rsidP="001A2CFE">
      <w:pPr>
        <w:rPr>
          <w:b/>
          <w:u w:val="single"/>
        </w:rPr>
      </w:pPr>
    </w:p>
    <w:p w:rsidR="001A2CFE" w:rsidRDefault="001A2CFE" w:rsidP="001A2CFE">
      <w:pPr>
        <w:rPr>
          <w:b/>
        </w:rPr>
      </w:pPr>
      <w:r w:rsidRPr="00434259">
        <w:rPr>
          <w:b/>
          <w:u w:val="single"/>
        </w:rPr>
        <w:t>Timeline</w:t>
      </w:r>
      <w:r w:rsidRPr="00434259">
        <w:rPr>
          <w:b/>
        </w:rPr>
        <w:t>:</w:t>
      </w:r>
      <w:r>
        <w:rPr>
          <w:b/>
        </w:rPr>
        <w:t xml:space="preserve">  </w:t>
      </w:r>
    </w:p>
    <w:p w:rsidR="001A2CFE" w:rsidRDefault="001A2CFE" w:rsidP="001A2CFE">
      <w:r>
        <w:t xml:space="preserve">The Steering Committee requests that this work be completed by the end of the Spring 2012 semester. </w:t>
      </w:r>
    </w:p>
    <w:p w:rsidR="001A2CFE" w:rsidRPr="00596C43" w:rsidRDefault="001A2CFE" w:rsidP="001A2CFE">
      <w:pPr>
        <w:spacing w:before="240" w:after="120"/>
        <w:jc w:val="center"/>
        <w:rPr>
          <w:b/>
          <w:bCs/>
        </w:rPr>
      </w:pPr>
      <w:r w:rsidRPr="00596C43">
        <w:rPr>
          <w:b/>
          <w:bCs/>
        </w:rPr>
        <w:t>TCNJ Governance Processes</w:t>
      </w:r>
    </w:p>
    <w:p w:rsidR="001A2CFE" w:rsidRPr="00596C43" w:rsidRDefault="001A2CFE" w:rsidP="001A2CFE">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1A2CFE" w:rsidRPr="00596C43" w:rsidRDefault="001A2CFE" w:rsidP="001A2CFE">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w:t>
      </w:r>
      <w:r w:rsidRPr="00596C43">
        <w:lastRenderedPageBreak/>
        <w:t xml:space="preserve">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1A2CFE" w:rsidRPr="00596C43" w:rsidRDefault="001A2CFE" w:rsidP="001A2CFE">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1A2CFE" w:rsidRPr="00596C43" w:rsidRDefault="001A2CFE" w:rsidP="001A2CFE">
      <w:pPr>
        <w:spacing w:before="240" w:after="120"/>
        <w:jc w:val="both"/>
        <w:rPr>
          <w:b/>
          <w:bCs/>
        </w:rPr>
      </w:pPr>
      <w:r w:rsidRPr="00596C43">
        <w:rPr>
          <w:b/>
          <w:bCs/>
        </w:rPr>
        <w:t>Testimony</w:t>
      </w:r>
    </w:p>
    <w:p w:rsidR="001A2CFE" w:rsidRPr="00596C43" w:rsidRDefault="001A2CFE" w:rsidP="001A2CFE">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1A2CFE" w:rsidRDefault="001A2CFE" w:rsidP="001A2CFE"/>
    <w:p w:rsidR="001A2CFE" w:rsidRDefault="001A2CFE" w:rsidP="001A2CFE"/>
    <w:p w:rsidR="001A2CFE" w:rsidRDefault="001A2CFE" w:rsidP="001A2CFE"/>
    <w:sectPr w:rsidR="001A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FE"/>
    <w:rsid w:val="00131F0A"/>
    <w:rsid w:val="00152958"/>
    <w:rsid w:val="001A2CFE"/>
    <w:rsid w:val="00391884"/>
    <w:rsid w:val="003A4FC2"/>
    <w:rsid w:val="00621E01"/>
    <w:rsid w:val="00663DC2"/>
    <w:rsid w:val="00810B0F"/>
    <w:rsid w:val="00D6605A"/>
    <w:rsid w:val="00D779AB"/>
    <w:rsid w:val="00E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A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A2CFE"/>
    <w:rPr>
      <w:rFonts w:ascii="Courier New" w:eastAsia="Times New Roman" w:hAnsi="Courier New" w:cs="Courier New"/>
      <w:sz w:val="20"/>
      <w:szCs w:val="20"/>
    </w:rPr>
  </w:style>
  <w:style w:type="character" w:styleId="Hyperlink">
    <w:name w:val="Hyperlink"/>
    <w:basedOn w:val="DefaultParagraphFont"/>
    <w:rsid w:val="001A2CFE"/>
    <w:rPr>
      <w:color w:val="0000FF"/>
      <w:u w:val="single"/>
    </w:rPr>
  </w:style>
  <w:style w:type="paragraph" w:styleId="NormalWeb">
    <w:name w:val="Normal (Web)"/>
    <w:basedOn w:val="Normal"/>
    <w:uiPriority w:val="99"/>
    <w:semiHidden/>
    <w:unhideWhenUsed/>
    <w:rsid w:val="001A2CFE"/>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A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A2CFE"/>
    <w:rPr>
      <w:rFonts w:ascii="Courier New" w:eastAsia="Times New Roman" w:hAnsi="Courier New" w:cs="Courier New"/>
      <w:sz w:val="20"/>
      <w:szCs w:val="20"/>
    </w:rPr>
  </w:style>
  <w:style w:type="character" w:styleId="Hyperlink">
    <w:name w:val="Hyperlink"/>
    <w:basedOn w:val="DefaultParagraphFont"/>
    <w:rsid w:val="001A2CFE"/>
    <w:rPr>
      <w:color w:val="0000FF"/>
      <w:u w:val="single"/>
    </w:rPr>
  </w:style>
  <w:style w:type="paragraph" w:styleId="NormalWeb">
    <w:name w:val="Normal (Web)"/>
    <w:basedOn w:val="Normal"/>
    <w:uiPriority w:val="99"/>
    <w:semiHidden/>
    <w:unhideWhenUsed/>
    <w:rsid w:val="001A2CF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4575">
      <w:bodyDiv w:val="1"/>
      <w:marLeft w:val="0"/>
      <w:marRight w:val="0"/>
      <w:marTop w:val="0"/>
      <w:marBottom w:val="0"/>
      <w:divBdr>
        <w:top w:val="none" w:sz="0" w:space="0" w:color="auto"/>
        <w:left w:val="none" w:sz="0" w:space="0" w:color="auto"/>
        <w:bottom w:val="none" w:sz="0" w:space="0" w:color="auto"/>
        <w:right w:val="none" w:sz="0" w:space="0" w:color="auto"/>
      </w:divBdr>
      <w:divsChild>
        <w:div w:id="1318613174">
          <w:marLeft w:val="0"/>
          <w:marRight w:val="0"/>
          <w:marTop w:val="0"/>
          <w:marBottom w:val="0"/>
          <w:divBdr>
            <w:top w:val="none" w:sz="0" w:space="0" w:color="auto"/>
            <w:left w:val="none" w:sz="0" w:space="0" w:color="auto"/>
            <w:bottom w:val="none" w:sz="0" w:space="0" w:color="auto"/>
            <w:right w:val="none" w:sz="0" w:space="0" w:color="auto"/>
          </w:divBdr>
          <w:divsChild>
            <w:div w:id="3040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 TargetMode="External"/><Relationship Id="rId5" Type="http://schemas.openxmlformats.org/officeDocument/2006/relationships/hyperlink" Target="http://www.tcnj.edu/~academic/policy/undergradcomplai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3</cp:revision>
  <dcterms:created xsi:type="dcterms:W3CDTF">2012-01-23T18:06:00Z</dcterms:created>
  <dcterms:modified xsi:type="dcterms:W3CDTF">2012-02-06T20:01:00Z</dcterms:modified>
</cp:coreProperties>
</file>